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78A2B">
      <w:pPr>
        <w:jc w:val="center"/>
        <w:rPr>
          <w:rFonts w:ascii="新宋体" w:hAnsi="新宋体" w:eastAsia="新宋体" w:cs="新宋体"/>
          <w:b/>
          <w:bCs/>
          <w:spacing w:val="30"/>
          <w:sz w:val="52"/>
          <w:szCs w:val="52"/>
        </w:rPr>
      </w:pPr>
    </w:p>
    <w:p w14:paraId="78D17694">
      <w:pPr>
        <w:jc w:val="center"/>
        <w:rPr>
          <w:rFonts w:ascii="新宋体" w:hAnsi="新宋体" w:eastAsia="新宋体"/>
          <w:b/>
          <w:bCs/>
          <w:spacing w:val="140"/>
          <w:sz w:val="60"/>
          <w:szCs w:val="22"/>
        </w:rPr>
      </w:pPr>
      <w:r>
        <w:rPr>
          <w:rFonts w:hint="eastAsia" w:ascii="新宋体" w:hAnsi="新宋体" w:eastAsia="新宋体" w:cs="新宋体"/>
          <w:b/>
          <w:bCs/>
          <w:spacing w:val="30"/>
          <w:sz w:val="52"/>
          <w:szCs w:val="52"/>
        </w:rPr>
        <w:t>温 州 市 第 七 人 民 医 院</w:t>
      </w:r>
    </w:p>
    <w:p w14:paraId="4044A183">
      <w:pPr>
        <w:adjustRightInd w:val="0"/>
        <w:snapToGrid w:val="0"/>
        <w:spacing w:line="480" w:lineRule="auto"/>
        <w:ind w:right="361"/>
        <w:rPr>
          <w:rFonts w:ascii="新宋体" w:hAnsi="新宋体" w:eastAsia="新宋体"/>
          <w:b/>
          <w:bCs/>
          <w:sz w:val="84"/>
          <w:szCs w:val="84"/>
        </w:rPr>
      </w:pPr>
    </w:p>
    <w:p w14:paraId="04A9C9EC">
      <w:pPr>
        <w:adjustRightInd w:val="0"/>
        <w:snapToGrid w:val="0"/>
        <w:spacing w:line="480" w:lineRule="auto"/>
        <w:ind w:right="361"/>
        <w:jc w:val="center"/>
        <w:rPr>
          <w:rFonts w:ascii="新宋体" w:hAnsi="新宋体" w:eastAsia="新宋体"/>
          <w:sz w:val="84"/>
          <w:szCs w:val="84"/>
        </w:rPr>
      </w:pPr>
      <w:r>
        <w:rPr>
          <w:rFonts w:hint="eastAsia" w:ascii="新宋体" w:hAnsi="新宋体" w:eastAsia="新宋体"/>
          <w:b/>
          <w:bCs/>
          <w:sz w:val="84"/>
          <w:szCs w:val="84"/>
        </w:rPr>
        <w:t>比 选 文 件</w:t>
      </w:r>
    </w:p>
    <w:p w14:paraId="26EDA0BD">
      <w:pPr>
        <w:ind w:firstLine="1140" w:firstLineChars="300"/>
        <w:rPr>
          <w:rFonts w:ascii="新宋体" w:hAnsi="新宋体" w:eastAsia="新宋体"/>
          <w:spacing w:val="40"/>
          <w:sz w:val="30"/>
          <w:szCs w:val="30"/>
        </w:rPr>
      </w:pPr>
    </w:p>
    <w:p w14:paraId="74311664">
      <w:pPr>
        <w:ind w:firstLine="1140" w:firstLineChars="300"/>
        <w:rPr>
          <w:rFonts w:ascii="新宋体" w:hAnsi="新宋体" w:eastAsia="新宋体"/>
          <w:spacing w:val="40"/>
          <w:sz w:val="30"/>
          <w:szCs w:val="30"/>
        </w:rPr>
      </w:pPr>
    </w:p>
    <w:p w14:paraId="2BF228B7">
      <w:pPr>
        <w:ind w:firstLine="1140" w:firstLineChars="300"/>
        <w:rPr>
          <w:rFonts w:ascii="新宋体" w:hAnsi="新宋体" w:eastAsia="新宋体"/>
          <w:spacing w:val="40"/>
          <w:sz w:val="30"/>
          <w:szCs w:val="30"/>
        </w:rPr>
      </w:pPr>
    </w:p>
    <w:p w14:paraId="533C306B">
      <w:pPr>
        <w:adjustRightInd w:val="0"/>
        <w:snapToGrid w:val="0"/>
        <w:spacing w:line="720" w:lineRule="auto"/>
        <w:ind w:left="3913" w:leftChars="912" w:hanging="1998" w:hangingChars="498"/>
        <w:jc w:val="left"/>
        <w:rPr>
          <w:rFonts w:ascii="宋体" w:hAnsi="宋体" w:cs="宋体"/>
          <w:b/>
          <w:bCs/>
          <w:spacing w:val="40"/>
          <w:sz w:val="32"/>
          <w:szCs w:val="32"/>
        </w:rPr>
      </w:pPr>
      <w:r>
        <w:rPr>
          <w:rFonts w:hint="eastAsia" w:ascii="宋体" w:hAnsi="宋体" w:cs="宋体"/>
          <w:b/>
          <w:bCs/>
          <w:spacing w:val="40"/>
          <w:sz w:val="32"/>
          <w:szCs w:val="32"/>
        </w:rPr>
        <w:t>项目名称：全链路态势感知服务采购项目</w:t>
      </w:r>
    </w:p>
    <w:p w14:paraId="67D5C0DE">
      <w:pPr>
        <w:adjustRightInd w:val="0"/>
        <w:snapToGrid w:val="0"/>
        <w:spacing w:line="720" w:lineRule="auto"/>
        <w:ind w:firstLine="2026" w:firstLineChars="505"/>
        <w:rPr>
          <w:rFonts w:ascii="宋体" w:hAnsi="宋体" w:cs="宋体"/>
          <w:b/>
          <w:bCs/>
          <w:sz w:val="32"/>
          <w:szCs w:val="32"/>
        </w:rPr>
      </w:pPr>
      <w:r>
        <w:rPr>
          <w:rFonts w:hint="eastAsia" w:ascii="宋体" w:hAnsi="宋体" w:cs="宋体"/>
          <w:b/>
          <w:bCs/>
          <w:spacing w:val="40"/>
          <w:sz w:val="32"/>
          <w:szCs w:val="32"/>
        </w:rPr>
        <w:t>采购方式：</w:t>
      </w:r>
      <w:r>
        <w:rPr>
          <w:rFonts w:hint="eastAsia" w:ascii="宋体" w:hAnsi="宋体" w:cs="宋体"/>
          <w:b/>
          <w:bCs/>
          <w:color w:val="000000"/>
          <w:kern w:val="0"/>
          <w:sz w:val="32"/>
          <w:szCs w:val="32"/>
        </w:rPr>
        <w:t>公开比选</w:t>
      </w:r>
    </w:p>
    <w:p w14:paraId="3AF8F7C7">
      <w:pPr>
        <w:adjustRightInd w:val="0"/>
        <w:snapToGrid w:val="0"/>
        <w:spacing w:line="720" w:lineRule="auto"/>
        <w:ind w:firstLine="2026" w:firstLineChars="505"/>
        <w:rPr>
          <w:rFonts w:ascii="宋体" w:hAnsi="宋体" w:cs="宋体"/>
          <w:b/>
          <w:bCs/>
          <w:spacing w:val="30"/>
          <w:sz w:val="32"/>
          <w:szCs w:val="32"/>
        </w:rPr>
      </w:pPr>
      <w:r>
        <w:rPr>
          <w:rFonts w:hint="eastAsia" w:ascii="宋体" w:hAnsi="宋体" w:cs="宋体"/>
          <w:b/>
          <w:bCs/>
          <w:spacing w:val="40"/>
          <w:sz w:val="32"/>
          <w:szCs w:val="32"/>
        </w:rPr>
        <w:t>招 标 人：</w:t>
      </w:r>
      <w:r>
        <w:rPr>
          <w:rFonts w:hint="eastAsia" w:ascii="宋体" w:hAnsi="宋体" w:cs="宋体"/>
          <w:b/>
          <w:bCs/>
          <w:spacing w:val="30"/>
          <w:sz w:val="32"/>
          <w:szCs w:val="32"/>
        </w:rPr>
        <w:t>温州市第七人民医院</w:t>
      </w:r>
    </w:p>
    <w:p w14:paraId="653ADF17">
      <w:pPr>
        <w:adjustRightInd w:val="0"/>
        <w:snapToGrid w:val="0"/>
        <w:spacing w:line="720" w:lineRule="auto"/>
        <w:ind w:firstLine="2026" w:firstLineChars="505"/>
        <w:rPr>
          <w:rFonts w:ascii="新宋体" w:hAnsi="新宋体" w:eastAsia="新宋体"/>
          <w:b/>
          <w:bCs/>
          <w:spacing w:val="40"/>
          <w:sz w:val="32"/>
          <w:szCs w:val="28"/>
        </w:rPr>
      </w:pPr>
      <w:r>
        <w:rPr>
          <w:rFonts w:hint="eastAsia" w:ascii="宋体" w:hAnsi="宋体" w:cs="宋体"/>
          <w:b/>
          <w:bCs/>
          <w:spacing w:val="40"/>
          <w:sz w:val="32"/>
          <w:szCs w:val="32"/>
        </w:rPr>
        <w:t>采购日期：</w:t>
      </w:r>
      <w:r>
        <w:rPr>
          <w:rFonts w:hint="eastAsia" w:ascii="新宋体" w:hAnsi="新宋体" w:eastAsia="新宋体"/>
          <w:b/>
          <w:bCs/>
          <w:spacing w:val="40"/>
          <w:sz w:val="32"/>
          <w:szCs w:val="28"/>
        </w:rPr>
        <w:t>二〇二五年</w:t>
      </w:r>
      <w:r>
        <w:rPr>
          <w:rFonts w:hint="eastAsia" w:ascii="新宋体" w:hAnsi="新宋体" w:eastAsia="新宋体"/>
          <w:b/>
          <w:bCs/>
          <w:spacing w:val="40"/>
          <w:sz w:val="32"/>
          <w:szCs w:val="28"/>
          <w:lang w:eastAsia="zh-CN"/>
        </w:rPr>
        <w:t>九</w:t>
      </w:r>
      <w:r>
        <w:rPr>
          <w:rFonts w:hint="eastAsia" w:ascii="新宋体" w:hAnsi="新宋体" w:eastAsia="新宋体"/>
          <w:b/>
          <w:bCs/>
          <w:spacing w:val="40"/>
          <w:sz w:val="32"/>
          <w:szCs w:val="28"/>
        </w:rPr>
        <w:t>月</w:t>
      </w:r>
    </w:p>
    <w:p w14:paraId="40D33707">
      <w:pPr>
        <w:pStyle w:val="4"/>
      </w:pPr>
    </w:p>
    <w:p w14:paraId="4DB5B5CD">
      <w:pPr>
        <w:pStyle w:val="2"/>
        <w:numPr>
          <w:ilvl w:val="0"/>
          <w:numId w:val="0"/>
        </w:numPr>
        <w:rPr>
          <w:rFonts w:ascii="宋体" w:hAnsi="宋体" w:eastAsia="宋体" w:cs="宋体"/>
          <w:b w:val="0"/>
          <w:bCs/>
          <w:color w:val="000000"/>
          <w:sz w:val="36"/>
          <w:szCs w:val="21"/>
        </w:rPr>
      </w:pPr>
      <w:r>
        <w:rPr>
          <w:rFonts w:hint="eastAsia" w:ascii="宋体" w:hAnsi="宋体" w:eastAsia="宋体" w:cs="宋体"/>
          <w:b w:val="0"/>
          <w:bCs/>
          <w:color w:val="000000"/>
          <w:sz w:val="36"/>
          <w:szCs w:val="21"/>
        </w:rPr>
        <w:t>招标公告</w:t>
      </w:r>
    </w:p>
    <w:p w14:paraId="5E06E255">
      <w:pPr>
        <w:pStyle w:val="16"/>
        <w:shd w:val="clear" w:color="auto" w:fill="FFFFFF"/>
        <w:adjustRightInd w:val="0"/>
        <w:snapToGrid w:val="0"/>
        <w:spacing w:before="0" w:beforeAutospacing="0" w:after="0" w:afterAutospacing="0" w:line="360" w:lineRule="auto"/>
        <w:jc w:val="both"/>
        <w:rPr>
          <w:color w:val="000000"/>
        </w:rPr>
      </w:pPr>
    </w:p>
    <w:p w14:paraId="05905AF2">
      <w:pPr>
        <w:pStyle w:val="16"/>
        <w:shd w:val="clear" w:color="auto" w:fill="FFFFFF"/>
        <w:adjustRightInd w:val="0"/>
        <w:snapToGrid w:val="0"/>
        <w:spacing w:before="0" w:beforeAutospacing="0" w:after="0" w:afterAutospacing="0" w:line="400" w:lineRule="exact"/>
        <w:ind w:firstLine="480" w:firstLineChars="200"/>
        <w:jc w:val="both"/>
        <w:rPr>
          <w:color w:val="000000"/>
        </w:rPr>
      </w:pPr>
      <w:r>
        <w:rPr>
          <w:rFonts w:hint="eastAsia"/>
          <w:color w:val="000000"/>
        </w:rPr>
        <w:t>现对温州市第七人民医院</w:t>
      </w:r>
      <w:r>
        <w:rPr>
          <w:rFonts w:hint="eastAsia"/>
          <w:color w:val="000000"/>
          <w:u w:val="single"/>
        </w:rPr>
        <w:t xml:space="preserve"> 全链路态势感知服务采购项目 </w:t>
      </w:r>
      <w:r>
        <w:rPr>
          <w:rFonts w:hint="eastAsia"/>
          <w:color w:val="000000"/>
        </w:rPr>
        <w:t>进行公开比选，我们诚恳地邀请有资质的单位参加投标，并请按比选文件的要求认真准备按时前来投标。</w:t>
      </w:r>
    </w:p>
    <w:p w14:paraId="3ADCC44C">
      <w:pPr>
        <w:pStyle w:val="16"/>
        <w:shd w:val="clear" w:color="auto" w:fill="FFFFFF"/>
        <w:adjustRightInd w:val="0"/>
        <w:snapToGrid w:val="0"/>
        <w:spacing w:before="0" w:beforeAutospacing="0" w:after="0" w:afterAutospacing="0" w:line="400" w:lineRule="exact"/>
        <w:ind w:firstLine="482" w:firstLineChars="200"/>
        <w:rPr>
          <w:b/>
          <w:bCs/>
          <w:color w:val="000000"/>
        </w:rPr>
      </w:pPr>
      <w:r>
        <w:rPr>
          <w:rFonts w:hint="eastAsia"/>
          <w:b/>
          <w:bCs/>
          <w:color w:val="000000"/>
        </w:rPr>
        <w:t>一、项目基本情况</w:t>
      </w:r>
    </w:p>
    <w:p w14:paraId="7BC30F1C">
      <w:pPr>
        <w:pStyle w:val="16"/>
        <w:shd w:val="clear" w:color="auto" w:fill="FFFFFF"/>
        <w:adjustRightInd w:val="0"/>
        <w:snapToGrid w:val="0"/>
        <w:spacing w:before="0" w:beforeAutospacing="0" w:after="0" w:afterAutospacing="0" w:line="400" w:lineRule="exact"/>
        <w:ind w:firstLine="480" w:firstLineChars="200"/>
        <w:jc w:val="both"/>
        <w:rPr>
          <w:color w:val="000000"/>
          <w:u w:val="single"/>
        </w:rPr>
      </w:pPr>
      <w:r>
        <w:rPr>
          <w:rFonts w:hint="eastAsia"/>
          <w:color w:val="000000"/>
        </w:rPr>
        <w:t>项目名称：</w:t>
      </w:r>
      <w:r>
        <w:rPr>
          <w:rFonts w:hint="eastAsia"/>
          <w:color w:val="000000"/>
          <w:u w:val="single"/>
        </w:rPr>
        <w:t xml:space="preserve"> 全链路态势感知服务采购项目 </w:t>
      </w:r>
    </w:p>
    <w:p w14:paraId="56294008">
      <w:pPr>
        <w:pStyle w:val="16"/>
        <w:shd w:val="clear" w:color="auto" w:fill="FFFFFF"/>
        <w:adjustRightInd w:val="0"/>
        <w:snapToGrid w:val="0"/>
        <w:spacing w:before="0" w:beforeAutospacing="0" w:after="0" w:afterAutospacing="0" w:line="400" w:lineRule="exact"/>
        <w:ind w:firstLine="480" w:firstLineChars="200"/>
        <w:jc w:val="both"/>
        <w:rPr>
          <w:rFonts w:eastAsiaTheme="majorEastAsia"/>
          <w:color w:val="000000"/>
        </w:rPr>
      </w:pPr>
      <w:r>
        <w:rPr>
          <w:rFonts w:hint="eastAsia" w:asciiTheme="majorEastAsia" w:hAnsiTheme="majorEastAsia" w:eastAsiaTheme="majorEastAsia" w:cstheme="majorEastAsia"/>
        </w:rPr>
        <w:t>预算金额：</w:t>
      </w:r>
      <w:r>
        <w:rPr>
          <w:rFonts w:hint="eastAsia" w:asciiTheme="majorEastAsia" w:hAnsiTheme="majorEastAsia" w:eastAsiaTheme="majorEastAsia" w:cstheme="majorEastAsia"/>
          <w:u w:val="single"/>
        </w:rPr>
        <w:t xml:space="preserve"> 40000元  </w:t>
      </w:r>
    </w:p>
    <w:p w14:paraId="6755F16B">
      <w:pPr>
        <w:pStyle w:val="16"/>
        <w:shd w:val="clear" w:color="auto" w:fill="FFFFFF"/>
        <w:adjustRightInd w:val="0"/>
        <w:snapToGrid w:val="0"/>
        <w:spacing w:before="0" w:beforeAutospacing="0" w:after="0" w:afterAutospacing="0" w:line="400" w:lineRule="exact"/>
        <w:ind w:firstLine="480" w:firstLineChars="200"/>
        <w:jc w:val="both"/>
        <w:rPr>
          <w:color w:val="000000"/>
        </w:rPr>
      </w:pPr>
      <w:r>
        <w:rPr>
          <w:rFonts w:hint="eastAsia"/>
          <w:color w:val="000000"/>
        </w:rPr>
        <w:t>比选内容：详细内容见比选内容及要求</w:t>
      </w:r>
    </w:p>
    <w:p w14:paraId="1E34EE50">
      <w:pPr>
        <w:pStyle w:val="16"/>
        <w:shd w:val="clear" w:color="auto" w:fill="FFFFFF"/>
        <w:adjustRightInd w:val="0"/>
        <w:snapToGrid w:val="0"/>
        <w:spacing w:before="0" w:beforeAutospacing="0" w:after="0" w:afterAutospacing="0" w:line="400" w:lineRule="exact"/>
        <w:ind w:firstLine="482" w:firstLineChars="200"/>
        <w:rPr>
          <w:rStyle w:val="22"/>
          <w:color w:val="000000"/>
          <w:shd w:val="clear" w:color="auto" w:fill="FFFFFF"/>
        </w:rPr>
      </w:pPr>
      <w:r>
        <w:rPr>
          <w:rStyle w:val="22"/>
          <w:rFonts w:hint="eastAsia"/>
          <w:color w:val="000000"/>
          <w:shd w:val="clear" w:color="auto" w:fill="FFFFFF"/>
        </w:rPr>
        <w:t>投标人报价不得超过最高限价金额，否则当无效标处理。</w:t>
      </w:r>
    </w:p>
    <w:p w14:paraId="4E89FF6D">
      <w:pPr>
        <w:pStyle w:val="16"/>
        <w:shd w:val="clear" w:color="auto" w:fill="FFFFFF"/>
        <w:adjustRightInd w:val="0"/>
        <w:snapToGrid w:val="0"/>
        <w:spacing w:before="0" w:beforeAutospacing="0" w:after="0" w:afterAutospacing="0" w:line="400" w:lineRule="exact"/>
        <w:ind w:firstLine="482" w:firstLineChars="200"/>
        <w:rPr>
          <w:color w:val="000000"/>
        </w:rPr>
      </w:pPr>
      <w:r>
        <w:rPr>
          <w:rFonts w:hint="eastAsia"/>
          <w:b/>
          <w:bCs/>
          <w:color w:val="000000"/>
        </w:rPr>
        <w:t>二、</w:t>
      </w:r>
      <w:r>
        <w:rPr>
          <w:rFonts w:hint="eastAsia"/>
          <w:color w:val="000000"/>
        </w:rPr>
        <w:t>申请人资格要求：</w:t>
      </w:r>
    </w:p>
    <w:p w14:paraId="28E2ABE3">
      <w:pPr>
        <w:pStyle w:val="16"/>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shd w:val="clear" w:color="auto" w:fill="FFFFFF"/>
        </w:rPr>
        <w:t>1、符合《中华人民共和国政府采购法》第二十二条的规定：</w:t>
      </w:r>
    </w:p>
    <w:p w14:paraId="5929D504">
      <w:pPr>
        <w:pStyle w:val="16"/>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（1）具有独立承担民事责任的能力；</w:t>
      </w:r>
    </w:p>
    <w:p w14:paraId="5F14C544">
      <w:pPr>
        <w:pStyle w:val="16"/>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（2）法定代表人授权书及身份证复印件、投标人代表有效身份证件</w:t>
      </w:r>
      <w:r>
        <w:rPr>
          <w:rFonts w:hint="eastAsia"/>
          <w:b/>
          <w:bCs/>
          <w:color w:val="000000"/>
          <w:shd w:val="clear" w:color="auto" w:fill="FFFFFF"/>
        </w:rPr>
        <w:t>原件及复印件</w:t>
      </w:r>
      <w:r>
        <w:rPr>
          <w:rFonts w:hint="eastAsia"/>
          <w:color w:val="000000"/>
          <w:shd w:val="clear" w:color="auto" w:fill="FFFFFF"/>
        </w:rPr>
        <w:t>、企业营业执照复印件（以上均需加盖公章）；</w:t>
      </w:r>
      <w:r>
        <w:rPr>
          <w:rFonts w:hint="eastAsia"/>
          <w:color w:val="000000"/>
        </w:rPr>
        <w:t>（</w:t>
      </w:r>
      <w:r>
        <w:rPr>
          <w:rFonts w:hint="eastAsia"/>
          <w:b/>
          <w:bCs/>
          <w:color w:val="000000"/>
        </w:rPr>
        <w:t>投标文件递交时提供</w:t>
      </w:r>
      <w:r>
        <w:rPr>
          <w:rFonts w:hint="eastAsia"/>
          <w:color w:val="000000"/>
        </w:rPr>
        <w:t>）</w:t>
      </w:r>
    </w:p>
    <w:p w14:paraId="1434DC59">
      <w:pPr>
        <w:pStyle w:val="16"/>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2.投标供应商必须是在中华人民共和国境内注册的具有法人资格的机构或其它组织，具有从事本项目的经营范围、资质和能力；</w:t>
      </w:r>
    </w:p>
    <w:p w14:paraId="15DD764B">
      <w:pPr>
        <w:pStyle w:val="16"/>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3.本项目不接受联合体投标，不允许转包和分包；</w:t>
      </w:r>
    </w:p>
    <w:p w14:paraId="09D57A7E">
      <w:pPr>
        <w:pStyle w:val="16"/>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三</w:t>
      </w:r>
      <w:r>
        <w:rPr>
          <w:color w:val="000000"/>
          <w:shd w:val="clear" w:color="auto" w:fill="FFFFFF"/>
        </w:rPr>
        <w:t>．报名时间、地点及注意事项：</w:t>
      </w:r>
    </w:p>
    <w:p w14:paraId="53FF11AE">
      <w:pPr>
        <w:pStyle w:val="16"/>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color w:val="000000"/>
          <w:highlight w:val="none"/>
          <w:shd w:val="clear" w:color="auto" w:fill="FFFFFF"/>
        </w:rPr>
        <w:t>1．报名时间：202</w:t>
      </w:r>
      <w:r>
        <w:rPr>
          <w:rFonts w:hint="eastAsia"/>
          <w:color w:val="000000"/>
          <w:highlight w:val="none"/>
          <w:shd w:val="clear" w:color="auto" w:fill="FFFFFF"/>
        </w:rPr>
        <w:t>5</w:t>
      </w:r>
      <w:r>
        <w:rPr>
          <w:color w:val="000000"/>
          <w:highlight w:val="none"/>
          <w:shd w:val="clear" w:color="auto" w:fill="FFFFFF"/>
        </w:rPr>
        <w:t>年</w:t>
      </w:r>
      <w:r>
        <w:rPr>
          <w:rFonts w:hint="eastAsia"/>
          <w:color w:val="000000"/>
          <w:highlight w:val="none"/>
          <w:shd w:val="clear" w:color="auto" w:fill="FFFFFF"/>
          <w:lang w:val="en-US" w:eastAsia="zh-CN"/>
        </w:rPr>
        <w:t>8</w:t>
      </w:r>
      <w:r>
        <w:rPr>
          <w:color w:val="000000"/>
          <w:highlight w:val="none"/>
          <w:shd w:val="clear" w:color="auto" w:fill="FFFFFF"/>
        </w:rPr>
        <w:t>月</w:t>
      </w:r>
      <w:r>
        <w:rPr>
          <w:rFonts w:hint="eastAsia"/>
          <w:color w:val="000000"/>
          <w:highlight w:val="none"/>
          <w:shd w:val="clear" w:color="auto" w:fill="FFFFFF"/>
          <w:lang w:val="en-US" w:eastAsia="zh-CN"/>
        </w:rPr>
        <w:t>26</w:t>
      </w:r>
      <w:r>
        <w:rPr>
          <w:color w:val="000000"/>
          <w:highlight w:val="none"/>
          <w:shd w:val="clear" w:color="auto" w:fill="FFFFFF"/>
        </w:rPr>
        <w:t>日至202</w:t>
      </w:r>
      <w:r>
        <w:rPr>
          <w:rFonts w:hint="eastAsia"/>
          <w:color w:val="000000"/>
          <w:highlight w:val="none"/>
          <w:shd w:val="clear" w:color="auto" w:fill="FFFFFF"/>
        </w:rPr>
        <w:t>5</w:t>
      </w:r>
      <w:r>
        <w:rPr>
          <w:color w:val="000000"/>
          <w:highlight w:val="none"/>
          <w:shd w:val="clear" w:color="auto" w:fill="FFFFFF"/>
        </w:rPr>
        <w:t>年</w:t>
      </w:r>
      <w:r>
        <w:rPr>
          <w:rFonts w:hint="eastAsia"/>
          <w:color w:val="000000"/>
          <w:highlight w:val="none"/>
          <w:shd w:val="clear" w:color="auto" w:fill="FFFFFF"/>
          <w:lang w:val="en-US" w:eastAsia="zh-CN"/>
        </w:rPr>
        <w:t>9</w:t>
      </w:r>
      <w:r>
        <w:rPr>
          <w:color w:val="000000"/>
          <w:highlight w:val="none"/>
          <w:shd w:val="clear" w:color="auto" w:fill="FFFFFF"/>
        </w:rPr>
        <w:t>月</w:t>
      </w:r>
      <w:r>
        <w:rPr>
          <w:rFonts w:hint="eastAsia"/>
          <w:color w:val="000000"/>
          <w:highlight w:val="none"/>
          <w:shd w:val="clear" w:color="auto" w:fill="FFFFFF"/>
          <w:lang w:val="en-US" w:eastAsia="zh-CN"/>
        </w:rPr>
        <w:t>1</w:t>
      </w:r>
      <w:r>
        <w:rPr>
          <w:color w:val="000000"/>
          <w:highlight w:val="none"/>
          <w:shd w:val="clear" w:color="auto" w:fill="FFFFFF"/>
        </w:rPr>
        <w:t>日</w:t>
      </w:r>
      <w:r>
        <w:rPr>
          <w:rFonts w:hint="eastAsia"/>
          <w:color w:val="000000"/>
          <w:highlight w:val="none"/>
          <w:shd w:val="clear" w:color="auto" w:fill="FFFFFF"/>
        </w:rPr>
        <w:t>9</w:t>
      </w:r>
      <w:r>
        <w:rPr>
          <w:color w:val="000000"/>
          <w:highlight w:val="none"/>
          <w:shd w:val="clear" w:color="auto" w:fill="FFFFFF"/>
        </w:rPr>
        <w:t>:</w:t>
      </w:r>
      <w:r>
        <w:rPr>
          <w:rFonts w:hint="eastAsia"/>
          <w:color w:val="000000"/>
          <w:highlight w:val="none"/>
          <w:shd w:val="clear" w:color="auto" w:fill="FFFFFF"/>
        </w:rPr>
        <w:t>0</w:t>
      </w:r>
      <w:r>
        <w:rPr>
          <w:color w:val="000000"/>
          <w:highlight w:val="none"/>
          <w:shd w:val="clear" w:color="auto" w:fill="FFFFFF"/>
        </w:rPr>
        <w:t>0时（上午：8:10-11:40；下午：1:00-4:30、双休日不接收）。</w:t>
      </w:r>
    </w:p>
    <w:p w14:paraId="1397FA6E">
      <w:pPr>
        <w:pStyle w:val="16"/>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rFonts w:hint="eastAsia"/>
          <w:color w:val="000000"/>
          <w:highlight w:val="none"/>
          <w:shd w:val="clear" w:color="auto" w:fill="FFFFFF"/>
        </w:rPr>
        <w:t>2.</w:t>
      </w:r>
      <w:r>
        <w:rPr>
          <w:color w:val="000000"/>
          <w:highlight w:val="none"/>
          <w:shd w:val="clear" w:color="auto" w:fill="FFFFFF"/>
        </w:rPr>
        <w:t>本次比选不适用《招标投标法》和《中华人民共和国政府采购法》，并且</w:t>
      </w:r>
      <w:r>
        <w:rPr>
          <w:rFonts w:hint="eastAsia"/>
          <w:color w:val="000000"/>
          <w:highlight w:val="none"/>
          <w:shd w:val="clear" w:color="auto" w:fill="FFFFFF"/>
        </w:rPr>
        <w:t>本单位</w:t>
      </w:r>
      <w:r>
        <w:rPr>
          <w:color w:val="000000"/>
          <w:highlight w:val="none"/>
          <w:shd w:val="clear" w:color="auto" w:fill="FFFFFF"/>
        </w:rPr>
        <w:t>保留对本</w:t>
      </w:r>
      <w:r>
        <w:rPr>
          <w:rFonts w:hint="eastAsia"/>
          <w:color w:val="000000"/>
          <w:highlight w:val="none"/>
          <w:shd w:val="clear" w:color="auto" w:fill="FFFFFF"/>
        </w:rPr>
        <w:t>公告</w:t>
      </w:r>
      <w:r>
        <w:rPr>
          <w:color w:val="000000"/>
          <w:highlight w:val="none"/>
          <w:shd w:val="clear" w:color="auto" w:fill="FFFFFF"/>
        </w:rPr>
        <w:t>及比选文件的解释权。</w:t>
      </w:r>
      <w:r>
        <w:rPr>
          <w:rFonts w:hint="eastAsia"/>
          <w:color w:val="000000"/>
          <w:highlight w:val="none"/>
          <w:shd w:val="clear" w:color="auto" w:fill="FFFFFF"/>
        </w:rPr>
        <w:t>本单位</w:t>
      </w:r>
      <w:r>
        <w:rPr>
          <w:color w:val="000000"/>
          <w:highlight w:val="none"/>
          <w:shd w:val="clear" w:color="auto" w:fill="FFFFFF"/>
        </w:rPr>
        <w:t>保留撤回/取消本</w:t>
      </w:r>
      <w:r>
        <w:rPr>
          <w:rFonts w:hint="eastAsia"/>
          <w:color w:val="000000"/>
          <w:highlight w:val="none"/>
          <w:shd w:val="clear" w:color="auto" w:fill="FFFFFF"/>
        </w:rPr>
        <w:t>公告</w:t>
      </w:r>
      <w:r>
        <w:rPr>
          <w:color w:val="000000"/>
          <w:highlight w:val="none"/>
          <w:shd w:val="clear" w:color="auto" w:fill="FFFFFF"/>
        </w:rPr>
        <w:t>及比选文件的权利而无需承担任何责任。请拟参选单位审慎阅读本</w:t>
      </w:r>
      <w:r>
        <w:rPr>
          <w:rFonts w:hint="eastAsia"/>
          <w:color w:val="000000"/>
          <w:highlight w:val="none"/>
          <w:shd w:val="clear" w:color="auto" w:fill="FFFFFF"/>
        </w:rPr>
        <w:t>公告</w:t>
      </w:r>
      <w:r>
        <w:rPr>
          <w:color w:val="000000"/>
          <w:highlight w:val="none"/>
          <w:shd w:val="clear" w:color="auto" w:fill="FFFFFF"/>
        </w:rPr>
        <w:t>，若有不明之处可联系问询。</w:t>
      </w:r>
    </w:p>
    <w:p w14:paraId="7D03B432">
      <w:pPr>
        <w:pStyle w:val="16"/>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rFonts w:hint="eastAsia"/>
          <w:color w:val="000000"/>
          <w:highlight w:val="none"/>
          <w:shd w:val="clear" w:color="auto" w:fill="FFFFFF"/>
        </w:rPr>
        <w:t>3.</w:t>
      </w:r>
      <w:r>
        <w:rPr>
          <w:color w:val="000000"/>
          <w:highlight w:val="none"/>
          <w:shd w:val="clear" w:color="auto" w:fill="FFFFFF"/>
        </w:rPr>
        <w:t>比选采购文件在线获取，不提供纸质版。</w:t>
      </w:r>
    </w:p>
    <w:p w14:paraId="7F84799A">
      <w:pPr>
        <w:pStyle w:val="16"/>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rFonts w:hint="eastAsia"/>
          <w:color w:val="000000"/>
          <w:highlight w:val="none"/>
          <w:shd w:val="clear" w:color="auto" w:fill="FFFFFF"/>
        </w:rPr>
        <w:t>4.</w:t>
      </w:r>
      <w:r>
        <w:rPr>
          <w:color w:val="000000"/>
          <w:highlight w:val="none"/>
          <w:shd w:val="clear" w:color="auto" w:fill="FFFFFF"/>
        </w:rPr>
        <w:t>联系人：</w:t>
      </w:r>
      <w:r>
        <w:rPr>
          <w:rFonts w:hint="eastAsia"/>
          <w:color w:val="000000"/>
          <w:highlight w:val="none"/>
          <w:shd w:val="clear" w:color="auto" w:fill="FFFFFF"/>
        </w:rPr>
        <w:t>朱老师</w:t>
      </w:r>
      <w:r>
        <w:rPr>
          <w:color w:val="000000"/>
          <w:highlight w:val="none"/>
          <w:shd w:val="clear" w:color="auto" w:fill="FFFFFF"/>
        </w:rPr>
        <w:t>      </w:t>
      </w:r>
    </w:p>
    <w:p w14:paraId="34AB2AF6">
      <w:pPr>
        <w:pStyle w:val="16"/>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color w:val="000000"/>
          <w:highlight w:val="none"/>
          <w:shd w:val="clear" w:color="auto" w:fill="FFFFFF"/>
        </w:rPr>
        <w:t>联系电话：0577-89870153</w:t>
      </w:r>
    </w:p>
    <w:p w14:paraId="79CADD88">
      <w:pPr>
        <w:pStyle w:val="16"/>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四、投标文件递交截止时间：2025年</w:t>
      </w:r>
      <w:r>
        <w:rPr>
          <w:rFonts w:hint="eastAsia"/>
          <w:color w:val="000000"/>
          <w:highlight w:val="none"/>
          <w:lang w:val="en-US" w:eastAsia="zh-CN"/>
        </w:rPr>
        <w:t>9</w:t>
      </w:r>
      <w:r>
        <w:rPr>
          <w:rFonts w:hint="eastAsia"/>
          <w:color w:val="000000"/>
          <w:highlight w:val="none"/>
        </w:rPr>
        <w:t>月</w:t>
      </w:r>
      <w:r>
        <w:rPr>
          <w:rFonts w:hint="eastAsia"/>
          <w:color w:val="000000"/>
          <w:highlight w:val="none"/>
          <w:lang w:val="en-US" w:eastAsia="zh-CN"/>
        </w:rPr>
        <w:t>1</w:t>
      </w:r>
      <w:r>
        <w:rPr>
          <w:rFonts w:hint="eastAsia"/>
          <w:color w:val="000000"/>
          <w:highlight w:val="none"/>
        </w:rPr>
        <w:t>日9:00分整；</w:t>
      </w:r>
    </w:p>
    <w:p w14:paraId="442E6120">
      <w:pPr>
        <w:pStyle w:val="16"/>
        <w:shd w:val="clear" w:color="auto" w:fill="FFFFFF"/>
        <w:adjustRightInd w:val="0"/>
        <w:snapToGrid w:val="0"/>
        <w:spacing w:before="0" w:beforeAutospacing="0" w:after="0" w:afterAutospacing="0" w:line="400" w:lineRule="exact"/>
        <w:ind w:firstLine="480" w:firstLineChars="200"/>
        <w:textAlignment w:val="bottom"/>
        <w:rPr>
          <w:color w:val="000000"/>
          <w:highlight w:val="none"/>
        </w:rPr>
      </w:pPr>
      <w:r>
        <w:rPr>
          <w:rFonts w:hint="eastAsia"/>
          <w:color w:val="000000"/>
          <w:highlight w:val="none"/>
        </w:rPr>
        <w:t>  递交地点：温州市第七人民医院潘桥院区学士前路158号</w:t>
      </w:r>
    </w:p>
    <w:p w14:paraId="718B7B68">
      <w:pPr>
        <w:pStyle w:val="16"/>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五、开标时间：2025年</w:t>
      </w:r>
      <w:r>
        <w:rPr>
          <w:rFonts w:hint="eastAsia"/>
          <w:color w:val="000000"/>
          <w:highlight w:val="none"/>
          <w:lang w:val="en-US" w:eastAsia="zh-CN"/>
        </w:rPr>
        <w:t>9</w:t>
      </w:r>
      <w:r>
        <w:rPr>
          <w:rFonts w:hint="eastAsia"/>
          <w:color w:val="000000"/>
          <w:highlight w:val="none"/>
        </w:rPr>
        <w:t>月</w:t>
      </w:r>
      <w:r>
        <w:rPr>
          <w:rFonts w:hint="eastAsia"/>
          <w:color w:val="000000"/>
          <w:highlight w:val="none"/>
          <w:lang w:val="en-US" w:eastAsia="zh-CN"/>
        </w:rPr>
        <w:t>1</w:t>
      </w:r>
      <w:r>
        <w:rPr>
          <w:rFonts w:hint="eastAsia"/>
          <w:color w:val="000000"/>
          <w:highlight w:val="none"/>
        </w:rPr>
        <w:t>日9:00分整；</w:t>
      </w:r>
    </w:p>
    <w:p w14:paraId="5174915E">
      <w:pPr>
        <w:pStyle w:val="16"/>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开标地点：温州市第七人民医院潘桥院区学士前路158号门诊楼4楼三号会议室</w:t>
      </w:r>
    </w:p>
    <w:p w14:paraId="736BD23C">
      <w:pPr>
        <w:pStyle w:val="16"/>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六、招标人：温州市第七人民医院</w:t>
      </w:r>
    </w:p>
    <w:p w14:paraId="747A145C">
      <w:pPr>
        <w:pStyle w:val="16"/>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联系人： </w:t>
      </w:r>
      <w:r>
        <w:rPr>
          <w:rFonts w:hint="eastAsia"/>
          <w:color w:val="000000"/>
          <w:highlight w:val="none"/>
          <w:shd w:val="clear" w:color="auto" w:fill="FFFFFF"/>
        </w:rPr>
        <w:t>朱老师</w:t>
      </w:r>
      <w:r>
        <w:rPr>
          <w:color w:val="000000"/>
          <w:highlight w:val="none"/>
          <w:shd w:val="clear" w:color="auto" w:fill="FFFFFF"/>
        </w:rPr>
        <w:t> </w:t>
      </w:r>
    </w:p>
    <w:p w14:paraId="5C99DA8B">
      <w:pPr>
        <w:pStyle w:val="16"/>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电话：  0577-89870153</w:t>
      </w:r>
    </w:p>
    <w:p w14:paraId="53D76E20">
      <w:pPr>
        <w:pStyle w:val="16"/>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监督电话：0577-89870113 </w:t>
      </w:r>
    </w:p>
    <w:p w14:paraId="20A4E0C3">
      <w:pPr>
        <w:pStyle w:val="16"/>
        <w:shd w:val="clear" w:color="auto" w:fill="FFFFFF"/>
        <w:wordWrap w:val="0"/>
        <w:adjustRightInd w:val="0"/>
        <w:snapToGrid w:val="0"/>
        <w:spacing w:before="0" w:beforeAutospacing="0" w:after="0" w:afterAutospacing="0" w:line="400" w:lineRule="exact"/>
        <w:ind w:firstLine="480" w:firstLineChars="200"/>
        <w:jc w:val="right"/>
        <w:rPr>
          <w:color w:val="000000"/>
          <w:highlight w:val="none"/>
        </w:rPr>
      </w:pPr>
      <w:r>
        <w:rPr>
          <w:rFonts w:hint="eastAsia"/>
          <w:color w:val="000000"/>
          <w:highlight w:val="none"/>
        </w:rPr>
        <w:t xml:space="preserve">                                                                  温州市第七人民医院  </w:t>
      </w:r>
    </w:p>
    <w:p w14:paraId="734EFFAB">
      <w:pPr>
        <w:pStyle w:val="16"/>
        <w:shd w:val="clear" w:color="auto" w:fill="FFFFFF"/>
        <w:wordWrap w:val="0"/>
        <w:adjustRightInd w:val="0"/>
        <w:snapToGrid w:val="0"/>
        <w:spacing w:before="0" w:beforeAutospacing="0" w:after="0" w:afterAutospacing="0" w:line="400" w:lineRule="exact"/>
        <w:ind w:firstLine="480" w:firstLineChars="200"/>
        <w:jc w:val="right"/>
        <w:rPr>
          <w:rStyle w:val="22"/>
          <w:rFonts w:ascii="Calibri" w:hAnsi="Calibri" w:cs="Times New Roman"/>
          <w:color w:val="333333"/>
          <w:highlight w:val="none"/>
          <w:shd w:val="clear" w:color="auto" w:fill="FFFFFF"/>
        </w:rPr>
      </w:pPr>
      <w:r>
        <w:rPr>
          <w:rFonts w:hint="eastAsia"/>
          <w:color w:val="000000"/>
          <w:highlight w:val="none"/>
        </w:rPr>
        <w:t>                           2025年</w:t>
      </w:r>
      <w:r>
        <w:rPr>
          <w:rFonts w:hint="eastAsia"/>
          <w:color w:val="000000"/>
          <w:highlight w:val="none"/>
          <w:lang w:val="en-US" w:eastAsia="zh-CN"/>
        </w:rPr>
        <w:t>8</w:t>
      </w:r>
      <w:r>
        <w:rPr>
          <w:rFonts w:hint="eastAsia"/>
          <w:color w:val="000000"/>
          <w:highlight w:val="none"/>
        </w:rPr>
        <w:t>月</w:t>
      </w:r>
      <w:r>
        <w:rPr>
          <w:rFonts w:hint="eastAsia"/>
          <w:color w:val="000000"/>
          <w:highlight w:val="none"/>
          <w:lang w:val="en-US" w:eastAsia="zh-CN"/>
        </w:rPr>
        <w:t>26</w:t>
      </w:r>
      <w:bookmarkStart w:id="12" w:name="_GoBack"/>
      <w:bookmarkEnd w:id="12"/>
      <w:r>
        <w:rPr>
          <w:rFonts w:hint="eastAsia"/>
          <w:color w:val="000000"/>
          <w:highlight w:val="none"/>
        </w:rPr>
        <w:t xml:space="preserve">日  </w:t>
      </w:r>
      <w:r>
        <w:rPr>
          <w:rFonts w:hint="eastAsia"/>
          <w:color w:val="000000"/>
          <w:sz w:val="23"/>
          <w:szCs w:val="23"/>
          <w:highlight w:val="none"/>
        </w:rPr>
        <w:t xml:space="preserve"> </w:t>
      </w:r>
    </w:p>
    <w:p w14:paraId="4CB5728E">
      <w:pPr>
        <w:pStyle w:val="16"/>
        <w:shd w:val="clear" w:color="auto" w:fill="FFFFFF"/>
        <w:spacing w:line="465" w:lineRule="atLeast"/>
        <w:jc w:val="both"/>
        <w:rPr>
          <w:rFonts w:ascii="新宋体" w:hAnsi="新宋体" w:eastAsia="新宋体"/>
          <w:b/>
          <w:bCs/>
          <w:sz w:val="32"/>
          <w:szCs w:val="32"/>
        </w:rPr>
      </w:pPr>
    </w:p>
    <w:p w14:paraId="301C4713">
      <w:pPr>
        <w:pStyle w:val="16"/>
        <w:shd w:val="clear" w:color="auto" w:fill="FFFFFF"/>
        <w:spacing w:line="465" w:lineRule="atLeast"/>
        <w:jc w:val="both"/>
        <w:rPr>
          <w:rFonts w:ascii="新宋体" w:hAnsi="新宋体" w:eastAsia="新宋体"/>
          <w:b/>
          <w:bCs/>
          <w:sz w:val="32"/>
          <w:szCs w:val="32"/>
        </w:rPr>
      </w:pPr>
    </w:p>
    <w:p w14:paraId="55FB7C4A">
      <w:pPr>
        <w:pStyle w:val="16"/>
        <w:shd w:val="clear" w:color="auto" w:fill="FFFFFF"/>
        <w:spacing w:line="465" w:lineRule="atLeast"/>
        <w:jc w:val="both"/>
        <w:rPr>
          <w:rFonts w:ascii="新宋体" w:hAnsi="新宋体" w:eastAsia="新宋体"/>
          <w:b/>
          <w:bCs/>
          <w:sz w:val="32"/>
          <w:szCs w:val="32"/>
        </w:rPr>
      </w:pPr>
    </w:p>
    <w:p w14:paraId="67BAE0D5">
      <w:pPr>
        <w:pStyle w:val="16"/>
        <w:shd w:val="clear" w:color="auto" w:fill="FFFFFF"/>
        <w:spacing w:line="465" w:lineRule="atLeast"/>
        <w:jc w:val="both"/>
        <w:rPr>
          <w:rFonts w:ascii="新宋体" w:hAnsi="新宋体" w:eastAsia="新宋体"/>
          <w:b/>
          <w:bCs/>
          <w:sz w:val="32"/>
          <w:szCs w:val="32"/>
        </w:rPr>
      </w:pPr>
    </w:p>
    <w:p w14:paraId="6D4F53C5">
      <w:pPr>
        <w:pStyle w:val="16"/>
        <w:shd w:val="clear" w:color="auto" w:fill="FFFFFF"/>
        <w:spacing w:line="465" w:lineRule="atLeast"/>
        <w:jc w:val="both"/>
        <w:rPr>
          <w:rFonts w:ascii="新宋体" w:hAnsi="新宋体" w:eastAsia="新宋体"/>
          <w:b/>
          <w:bCs/>
          <w:sz w:val="32"/>
          <w:szCs w:val="32"/>
        </w:rPr>
      </w:pPr>
    </w:p>
    <w:p w14:paraId="1461E0C0">
      <w:pPr>
        <w:pStyle w:val="16"/>
        <w:shd w:val="clear" w:color="auto" w:fill="FFFFFF"/>
        <w:spacing w:line="465" w:lineRule="atLeast"/>
        <w:jc w:val="both"/>
        <w:rPr>
          <w:rFonts w:ascii="新宋体" w:hAnsi="新宋体" w:eastAsia="新宋体"/>
          <w:b/>
          <w:bCs/>
          <w:sz w:val="32"/>
          <w:szCs w:val="32"/>
        </w:rPr>
      </w:pPr>
    </w:p>
    <w:p w14:paraId="63F37DE0">
      <w:pPr>
        <w:pStyle w:val="16"/>
        <w:shd w:val="clear" w:color="auto" w:fill="FFFFFF"/>
        <w:spacing w:line="465" w:lineRule="atLeast"/>
        <w:jc w:val="both"/>
        <w:rPr>
          <w:rFonts w:ascii="新宋体" w:hAnsi="新宋体" w:eastAsia="新宋体"/>
          <w:b/>
          <w:bCs/>
          <w:sz w:val="32"/>
          <w:szCs w:val="32"/>
        </w:rPr>
      </w:pPr>
    </w:p>
    <w:p w14:paraId="5A71196E">
      <w:pPr>
        <w:pStyle w:val="16"/>
        <w:shd w:val="clear" w:color="auto" w:fill="FFFFFF"/>
        <w:spacing w:line="465" w:lineRule="atLeast"/>
        <w:jc w:val="both"/>
        <w:rPr>
          <w:rFonts w:ascii="新宋体" w:hAnsi="新宋体" w:eastAsia="新宋体"/>
          <w:b/>
          <w:bCs/>
          <w:sz w:val="32"/>
          <w:szCs w:val="32"/>
        </w:rPr>
      </w:pPr>
    </w:p>
    <w:p w14:paraId="18B802A1">
      <w:pPr>
        <w:pStyle w:val="16"/>
        <w:shd w:val="clear" w:color="auto" w:fill="FFFFFF"/>
        <w:spacing w:line="465" w:lineRule="atLeast"/>
        <w:jc w:val="both"/>
        <w:rPr>
          <w:rFonts w:ascii="新宋体" w:hAnsi="新宋体" w:eastAsia="新宋体"/>
          <w:b/>
          <w:bCs/>
          <w:sz w:val="32"/>
          <w:szCs w:val="32"/>
        </w:rPr>
      </w:pPr>
    </w:p>
    <w:p w14:paraId="127194E8">
      <w:pPr>
        <w:pStyle w:val="16"/>
        <w:shd w:val="clear" w:color="auto" w:fill="FFFFFF"/>
        <w:spacing w:line="465" w:lineRule="atLeast"/>
        <w:jc w:val="both"/>
        <w:rPr>
          <w:rFonts w:ascii="新宋体" w:hAnsi="新宋体" w:eastAsia="新宋体"/>
          <w:b/>
          <w:bCs/>
          <w:sz w:val="32"/>
          <w:szCs w:val="32"/>
        </w:rPr>
      </w:pPr>
    </w:p>
    <w:p w14:paraId="2BED76FC">
      <w:pPr>
        <w:pStyle w:val="16"/>
        <w:shd w:val="clear" w:color="auto" w:fill="FFFFFF"/>
        <w:spacing w:line="465" w:lineRule="atLeast"/>
        <w:jc w:val="both"/>
        <w:rPr>
          <w:rFonts w:ascii="新宋体" w:hAnsi="新宋体" w:eastAsia="新宋体"/>
          <w:b/>
          <w:bCs/>
          <w:sz w:val="32"/>
          <w:szCs w:val="32"/>
        </w:rPr>
      </w:pPr>
    </w:p>
    <w:p w14:paraId="4BABDEFD">
      <w:pPr>
        <w:pStyle w:val="16"/>
        <w:shd w:val="clear" w:color="auto" w:fill="FFFFFF"/>
        <w:spacing w:line="465" w:lineRule="atLeast"/>
        <w:jc w:val="both"/>
        <w:rPr>
          <w:rFonts w:ascii="新宋体" w:hAnsi="新宋体" w:eastAsia="新宋体"/>
          <w:b/>
          <w:bCs/>
          <w:sz w:val="32"/>
          <w:szCs w:val="32"/>
        </w:rPr>
      </w:pPr>
    </w:p>
    <w:p w14:paraId="5FF6DCB8">
      <w:pPr>
        <w:pStyle w:val="16"/>
        <w:shd w:val="clear" w:color="auto" w:fill="FFFFFF"/>
        <w:spacing w:line="465" w:lineRule="atLeast"/>
        <w:jc w:val="center"/>
        <w:rPr>
          <w:rFonts w:ascii="新宋体" w:hAnsi="新宋体" w:eastAsia="新宋体"/>
          <w:color w:val="5A5A5A"/>
          <w:sz w:val="23"/>
          <w:szCs w:val="23"/>
        </w:rPr>
      </w:pPr>
      <w:r>
        <w:rPr>
          <w:rFonts w:hint="eastAsia" w:ascii="新宋体" w:hAnsi="新宋体" w:eastAsia="新宋体"/>
          <w:b/>
          <w:bCs/>
          <w:sz w:val="32"/>
          <w:szCs w:val="32"/>
        </w:rPr>
        <w:t>招标内容及要求</w:t>
      </w:r>
    </w:p>
    <w:p w14:paraId="38DAB631">
      <w:pPr>
        <w:numPr>
          <w:ilvl w:val="0"/>
          <w:numId w:val="2"/>
        </w:numPr>
        <w:spacing w:line="360" w:lineRule="auto"/>
        <w:rPr>
          <w:rFonts w:ascii="宋体" w:hAnsi="宋体"/>
          <w:sz w:val="28"/>
          <w:szCs w:val="28"/>
        </w:rPr>
      </w:pPr>
      <w:r>
        <w:rPr>
          <w:rFonts w:hint="eastAsia"/>
          <w:b/>
          <w:bCs/>
          <w:sz w:val="28"/>
          <w:szCs w:val="28"/>
        </w:rPr>
        <w:t>招标内容</w:t>
      </w:r>
    </w:p>
    <w:p w14:paraId="3AB9D84C">
      <w:pPr>
        <w:spacing w:line="360" w:lineRule="auto"/>
        <w:rPr>
          <w:rFonts w:ascii="宋体" w:hAnsi="宋体"/>
          <w:sz w:val="28"/>
          <w:szCs w:val="28"/>
        </w:rPr>
      </w:pPr>
      <w:r>
        <w:rPr>
          <w:rFonts w:hint="eastAsia" w:ascii="宋体" w:hAnsi="宋体"/>
          <w:sz w:val="28"/>
          <w:szCs w:val="28"/>
        </w:rPr>
        <w:t>（一）招标单位：温州市第七人民医院</w:t>
      </w:r>
    </w:p>
    <w:p w14:paraId="0752AA0B">
      <w:pPr>
        <w:spacing w:line="360" w:lineRule="auto"/>
        <w:rPr>
          <w:rFonts w:ascii="宋体" w:hAnsi="宋体"/>
          <w:sz w:val="28"/>
          <w:szCs w:val="28"/>
        </w:rPr>
      </w:pPr>
      <w:r>
        <w:rPr>
          <w:rFonts w:hint="eastAsia" w:ascii="宋体" w:hAnsi="宋体"/>
          <w:sz w:val="28"/>
          <w:szCs w:val="28"/>
        </w:rPr>
        <w:t>（二）项目名称：全链路态势感知服务采购项目</w:t>
      </w:r>
    </w:p>
    <w:p w14:paraId="341FDFD5">
      <w:pPr>
        <w:spacing w:line="360" w:lineRule="auto"/>
        <w:rPr>
          <w:rFonts w:ascii="宋体" w:hAnsi="宋体"/>
          <w:sz w:val="28"/>
          <w:szCs w:val="28"/>
        </w:rPr>
      </w:pPr>
      <w:r>
        <w:rPr>
          <w:rFonts w:hint="eastAsia" w:ascii="宋体" w:hAnsi="宋体"/>
          <w:sz w:val="28"/>
          <w:szCs w:val="28"/>
        </w:rPr>
        <w:t>（三）预算金额：40000元</w:t>
      </w:r>
    </w:p>
    <w:p w14:paraId="417E4CB6">
      <w:pPr>
        <w:spacing w:line="360" w:lineRule="auto"/>
        <w:rPr>
          <w:rFonts w:ascii="宋体" w:hAnsi="宋体"/>
          <w:sz w:val="28"/>
          <w:szCs w:val="28"/>
        </w:rPr>
      </w:pPr>
      <w:r>
        <w:rPr>
          <w:rFonts w:hint="eastAsia" w:ascii="宋体" w:hAnsi="宋体"/>
          <w:sz w:val="28"/>
          <w:szCs w:val="28"/>
        </w:rPr>
        <w:t>（四）采购内容：温州市第七人民医院全链路态势感知服务项目主要内容：1、升级支撑平台；2、强化资产管理能力；3、强化安全监测能力；4、强化告警管理能力；5、强化闭环管理能力；6、强化可视化展示；7、协助提供平台通报的事件处置、隐患整改、安全加固等各类问题辅助指导。</w:t>
      </w:r>
    </w:p>
    <w:p w14:paraId="353E2E37">
      <w:pPr>
        <w:spacing w:line="360" w:lineRule="auto"/>
        <w:rPr>
          <w:rFonts w:ascii="宋体" w:hAnsi="宋体"/>
          <w:sz w:val="28"/>
          <w:szCs w:val="28"/>
        </w:rPr>
      </w:pPr>
      <w:r>
        <w:rPr>
          <w:rFonts w:hint="eastAsia" w:ascii="宋体" w:hAnsi="宋体"/>
          <w:sz w:val="28"/>
          <w:szCs w:val="28"/>
        </w:rPr>
        <w:t>（五）服务时间：合同签订后一年。</w:t>
      </w:r>
    </w:p>
    <w:p w14:paraId="2A8569E6">
      <w:pPr>
        <w:spacing w:line="360" w:lineRule="auto"/>
        <w:rPr>
          <w:rFonts w:ascii="宋体" w:hAnsi="宋体"/>
          <w:sz w:val="28"/>
          <w:szCs w:val="28"/>
        </w:rPr>
      </w:pPr>
      <w:r>
        <w:rPr>
          <w:rFonts w:hint="eastAsia" w:ascii="宋体" w:hAnsi="宋体"/>
          <w:sz w:val="28"/>
          <w:szCs w:val="28"/>
        </w:rPr>
        <w:t>（六）服务地点：采购人指定地点。</w:t>
      </w:r>
    </w:p>
    <w:p w14:paraId="22E98E3A">
      <w:pPr>
        <w:spacing w:line="360" w:lineRule="auto"/>
        <w:rPr>
          <w:rFonts w:ascii="宋体" w:hAnsi="宋体"/>
          <w:sz w:val="28"/>
          <w:szCs w:val="28"/>
        </w:rPr>
      </w:pPr>
    </w:p>
    <w:p w14:paraId="33741B72">
      <w:pPr>
        <w:numPr>
          <w:ilvl w:val="0"/>
          <w:numId w:val="2"/>
        </w:numPr>
        <w:spacing w:line="360" w:lineRule="auto"/>
        <w:rPr>
          <w:b/>
          <w:bCs/>
          <w:sz w:val="28"/>
          <w:szCs w:val="28"/>
        </w:rPr>
      </w:pPr>
      <w:r>
        <w:rPr>
          <w:rFonts w:hint="eastAsia"/>
          <w:b/>
          <w:bCs/>
          <w:sz w:val="28"/>
          <w:szCs w:val="28"/>
        </w:rPr>
        <w:t>服务要求</w:t>
      </w:r>
    </w:p>
    <w:p w14:paraId="5C472146">
      <w:pPr>
        <w:pStyle w:val="4"/>
        <w:numPr>
          <w:ilvl w:val="0"/>
          <w:numId w:val="3"/>
        </w:numPr>
        <w:rPr>
          <w:b w:val="0"/>
          <w:bCs w:val="0"/>
        </w:rPr>
      </w:pPr>
      <w:r>
        <w:rPr>
          <w:rFonts w:hint="eastAsia"/>
          <w:b w:val="0"/>
          <w:bCs w:val="0"/>
        </w:rPr>
        <w:t>采购内容：</w:t>
      </w:r>
    </w:p>
    <w:p w14:paraId="5ED46A7C"/>
    <w:p w14:paraId="38EAEA1F"/>
    <w:p w14:paraId="6BBC9430"/>
    <w:p w14:paraId="6975D315"/>
    <w:p w14:paraId="7F22E968"/>
    <w:p w14:paraId="09EF065D"/>
    <w:tbl>
      <w:tblPr>
        <w:tblStyle w:val="19"/>
        <w:tblW w:w="8939" w:type="dxa"/>
        <w:tblInd w:w="0" w:type="dxa"/>
        <w:tblLayout w:type="fixed"/>
        <w:tblCellMar>
          <w:top w:w="0" w:type="dxa"/>
          <w:left w:w="108" w:type="dxa"/>
          <w:bottom w:w="0" w:type="dxa"/>
          <w:right w:w="108" w:type="dxa"/>
        </w:tblCellMar>
      </w:tblPr>
      <w:tblGrid>
        <w:gridCol w:w="516"/>
        <w:gridCol w:w="894"/>
        <w:gridCol w:w="5454"/>
        <w:gridCol w:w="2075"/>
      </w:tblGrid>
      <w:tr w14:paraId="3BE61ADC">
        <w:tblPrEx>
          <w:tblCellMar>
            <w:top w:w="0" w:type="dxa"/>
            <w:left w:w="108" w:type="dxa"/>
            <w:bottom w:w="0" w:type="dxa"/>
            <w:right w:w="108" w:type="dxa"/>
          </w:tblCellMar>
        </w:tblPrEx>
        <w:trPr>
          <w:trHeight w:val="968" w:hRule="atLeast"/>
        </w:trPr>
        <w:tc>
          <w:tcPr>
            <w:tcW w:w="5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5986E">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序号</w:t>
            </w:r>
          </w:p>
        </w:tc>
        <w:tc>
          <w:tcPr>
            <w:tcW w:w="89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86D6E">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功能项</w:t>
            </w:r>
          </w:p>
        </w:tc>
        <w:tc>
          <w:tcPr>
            <w:tcW w:w="5454" w:type="dxa"/>
            <w:tcBorders>
              <w:top w:val="single" w:color="000000" w:sz="4" w:space="0"/>
              <w:left w:val="single" w:color="000000" w:sz="4" w:space="0"/>
              <w:bottom w:val="single" w:color="auto" w:sz="4" w:space="0"/>
              <w:right w:val="single" w:color="000000" w:sz="4" w:space="0"/>
            </w:tcBorders>
            <w:shd w:val="clear" w:color="auto" w:fill="FFFFFF"/>
            <w:noWrap/>
            <w:vAlign w:val="center"/>
          </w:tcPr>
          <w:p w14:paraId="1EE026ED">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服务内容</w:t>
            </w:r>
          </w:p>
        </w:tc>
        <w:tc>
          <w:tcPr>
            <w:tcW w:w="2075" w:type="dxa"/>
            <w:tcBorders>
              <w:top w:val="single" w:color="000000" w:sz="4" w:space="0"/>
              <w:left w:val="single" w:color="000000" w:sz="4" w:space="0"/>
              <w:bottom w:val="single" w:color="auto" w:sz="4" w:space="0"/>
              <w:right w:val="single" w:color="000000" w:sz="4" w:space="0"/>
            </w:tcBorders>
            <w:shd w:val="clear" w:color="auto" w:fill="FFFFFF"/>
            <w:noWrap/>
            <w:vAlign w:val="center"/>
          </w:tcPr>
          <w:p w14:paraId="49B822A6">
            <w:pPr>
              <w:widowControl/>
              <w:jc w:val="center"/>
              <w:textAlignment w:val="center"/>
              <w:rPr>
                <w:rFonts w:ascii="宋体" w:hAnsi="宋体" w:cs="宋体"/>
                <w:b/>
                <w:bCs/>
                <w:color w:val="000000"/>
                <w:kern w:val="0"/>
                <w:sz w:val="22"/>
                <w:szCs w:val="22"/>
                <w:lang w:bidi="ar"/>
              </w:rPr>
            </w:pPr>
            <w:r>
              <w:rPr>
                <w:rFonts w:hint="eastAsia" w:ascii="宋体" w:hAnsi="宋体" w:cs="宋体"/>
                <w:b/>
                <w:bCs/>
                <w:color w:val="000000"/>
                <w:kern w:val="0"/>
                <w:sz w:val="22"/>
                <w:szCs w:val="22"/>
                <w:lang w:bidi="ar"/>
              </w:rPr>
              <w:t>预算金额</w:t>
            </w:r>
          </w:p>
        </w:tc>
      </w:tr>
      <w:tr w14:paraId="01BDD004">
        <w:tblPrEx>
          <w:tblCellMar>
            <w:top w:w="0" w:type="dxa"/>
            <w:left w:w="108" w:type="dxa"/>
            <w:bottom w:w="0" w:type="dxa"/>
            <w:right w:w="108" w:type="dxa"/>
          </w:tblCellMar>
        </w:tblPrEx>
        <w:trPr>
          <w:trHeight w:val="3331" w:hRule="atLeast"/>
        </w:trPr>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EC058">
            <w:pPr>
              <w:widowControl/>
              <w:jc w:val="center"/>
              <w:rPr>
                <w:rFonts w:ascii="仿宋" w:hAnsi="仿宋" w:eastAsia="仿宋" w:cs="宋体"/>
                <w:kern w:val="0"/>
                <w:szCs w:val="21"/>
              </w:rPr>
            </w:pPr>
            <w:r>
              <w:rPr>
                <w:rFonts w:hint="eastAsia" w:ascii="仿宋" w:hAnsi="仿宋" w:eastAsia="仿宋" w:cs="宋体"/>
                <w:kern w:val="0"/>
                <w:szCs w:val="21"/>
              </w:rPr>
              <w:t>1</w:t>
            </w:r>
          </w:p>
          <w:p w14:paraId="7D5389BF">
            <w:pPr>
              <w:widowControl/>
              <w:jc w:val="center"/>
              <w:textAlignment w:val="center"/>
              <w:rPr>
                <w:rFonts w:ascii="宋体" w:hAnsi="宋体" w:cs="宋体"/>
                <w:b/>
                <w:bCs/>
                <w:color w:val="000000"/>
                <w:sz w:val="22"/>
                <w:szCs w:val="22"/>
              </w:rPr>
            </w:pPr>
          </w:p>
        </w:tc>
        <w:tc>
          <w:tcPr>
            <w:tcW w:w="89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4DFDED0">
            <w:pPr>
              <w:widowControl/>
              <w:jc w:val="center"/>
              <w:textAlignment w:val="center"/>
              <w:rPr>
                <w:rFonts w:ascii="宋体" w:hAnsi="宋体" w:cs="宋体"/>
                <w:color w:val="000000"/>
                <w:szCs w:val="21"/>
              </w:rPr>
            </w:pPr>
            <w:r>
              <w:rPr>
                <w:rFonts w:hint="eastAsia" w:ascii="宋体" w:hAnsi="宋体"/>
                <w:b/>
                <w:sz w:val="24"/>
              </w:rPr>
              <w:t>全链路态势感知服务</w:t>
            </w:r>
          </w:p>
        </w:tc>
        <w:tc>
          <w:tcPr>
            <w:tcW w:w="5454" w:type="dxa"/>
            <w:tcBorders>
              <w:top w:val="single" w:color="auto" w:sz="4" w:space="0"/>
              <w:left w:val="single" w:color="auto" w:sz="4" w:space="0"/>
              <w:bottom w:val="single" w:color="auto" w:sz="4" w:space="0"/>
              <w:right w:val="single" w:color="000000" w:sz="4" w:space="0"/>
            </w:tcBorders>
            <w:shd w:val="clear" w:color="auto" w:fill="auto"/>
            <w:vAlign w:val="center"/>
          </w:tcPr>
          <w:p w14:paraId="5A88FC4E">
            <w:pPr>
              <w:spacing w:line="360" w:lineRule="auto"/>
              <w:rPr>
                <w:rFonts w:ascii="宋体" w:hAnsi="宋体" w:cs="宋体"/>
                <w:kern w:val="0"/>
                <w:sz w:val="20"/>
                <w:szCs w:val="20"/>
                <w:lang w:bidi="ar"/>
              </w:rPr>
            </w:pPr>
            <w:r>
              <w:rPr>
                <w:rFonts w:hint="eastAsia" w:ascii="宋体" w:hAnsi="宋体" w:cs="宋体"/>
                <w:kern w:val="0"/>
                <w:sz w:val="20"/>
                <w:szCs w:val="20"/>
                <w:lang w:bidi="ar"/>
              </w:rPr>
              <w:t>平台安全能力提升。1、升级支撑平台；2、强化资产管理能力；3、强化安全监测能力；4、强化告警管理能力；5、强化闭环管理能力；6、强化可视化展示；7、协助提供平台通报的事件处置、隐患整改、安全加固等各类问题辅助指导。</w:t>
            </w:r>
          </w:p>
          <w:p w14:paraId="60FF97DF">
            <w:pPr>
              <w:spacing w:line="360" w:lineRule="auto"/>
              <w:rPr>
                <w:rFonts w:ascii="宋体" w:hAnsi="宋体" w:cs="宋体"/>
                <w:kern w:val="0"/>
                <w:sz w:val="20"/>
                <w:szCs w:val="20"/>
                <w:lang w:bidi="ar"/>
              </w:rPr>
            </w:pPr>
            <w:r>
              <w:rPr>
                <w:kern w:val="0"/>
                <w:sz w:val="20"/>
                <w:szCs w:val="20"/>
                <w:lang w:bidi="ar"/>
              </w:rPr>
              <w:t>▲</w:t>
            </w:r>
            <w:r>
              <w:rPr>
                <w:rFonts w:hint="eastAsia" w:ascii="宋体" w:hAnsi="宋体" w:cs="宋体"/>
                <w:kern w:val="0"/>
                <w:sz w:val="20"/>
                <w:szCs w:val="20"/>
                <w:lang w:bidi="ar"/>
              </w:rPr>
              <w:t>与温州市卫健全链路网络安全监管平台对接，实行信息互通</w:t>
            </w:r>
          </w:p>
          <w:p w14:paraId="5DD9048C">
            <w:pPr>
              <w:spacing w:line="360" w:lineRule="auto"/>
              <w:rPr>
                <w:rFonts w:ascii="宋体" w:hAnsi="宋体" w:cs="宋体"/>
                <w:kern w:val="0"/>
                <w:sz w:val="20"/>
                <w:szCs w:val="20"/>
                <w:lang w:bidi="ar"/>
              </w:rPr>
            </w:pPr>
          </w:p>
        </w:tc>
        <w:tc>
          <w:tcPr>
            <w:tcW w:w="2075" w:type="dxa"/>
            <w:tcBorders>
              <w:top w:val="single" w:color="auto" w:sz="4" w:space="0"/>
              <w:left w:val="single" w:color="000000" w:sz="4" w:space="0"/>
              <w:bottom w:val="single" w:color="auto" w:sz="4" w:space="0"/>
              <w:right w:val="single" w:color="auto" w:sz="4" w:space="0"/>
            </w:tcBorders>
            <w:shd w:val="clear" w:color="auto" w:fill="auto"/>
            <w:vAlign w:val="center"/>
          </w:tcPr>
          <w:p w14:paraId="422F1A9E">
            <w:pPr>
              <w:spacing w:line="360" w:lineRule="auto"/>
              <w:jc w:val="center"/>
              <w:rPr>
                <w:rFonts w:ascii="仿宋" w:hAnsi="仿宋" w:eastAsia="仿宋" w:cs="宋体"/>
                <w:kern w:val="0"/>
                <w:szCs w:val="21"/>
              </w:rPr>
            </w:pPr>
            <w:r>
              <w:rPr>
                <w:rFonts w:hint="eastAsia" w:ascii="宋体" w:hAnsi="宋体" w:cs="宋体"/>
                <w:kern w:val="0"/>
                <w:sz w:val="20"/>
                <w:szCs w:val="20"/>
                <w:lang w:bidi="ar"/>
              </w:rPr>
              <w:t>4万元</w:t>
            </w:r>
          </w:p>
        </w:tc>
      </w:tr>
    </w:tbl>
    <w:p w14:paraId="1BE43B23">
      <w:pPr>
        <w:tabs>
          <w:tab w:val="left" w:pos="4400"/>
        </w:tabs>
        <w:spacing w:line="480" w:lineRule="auto"/>
        <w:ind w:firstLine="482" w:firstLineChars="200"/>
        <w:jc w:val="left"/>
      </w:pPr>
      <w:r>
        <w:rPr>
          <w:rFonts w:hint="eastAsia" w:ascii="宋体" w:hAnsi="宋体"/>
          <w:b/>
          <w:sz w:val="24"/>
        </w:rPr>
        <w:t>全链路态势感知服务技术要求</w:t>
      </w:r>
      <w:r>
        <w:rPr>
          <w:rFonts w:hint="eastAsia" w:ascii="宋体" w:hAnsi="宋体"/>
          <w:b/>
          <w:sz w:val="24"/>
        </w:rPr>
        <w:tab/>
      </w:r>
    </w:p>
    <w:tbl>
      <w:tblPr>
        <w:tblStyle w:val="19"/>
        <w:tblW w:w="51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1366"/>
        <w:gridCol w:w="6484"/>
      </w:tblGrid>
      <w:tr w14:paraId="19A8A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shd w:val="clear" w:color="000000" w:fill="BFBFBF"/>
            <w:vAlign w:val="center"/>
          </w:tcPr>
          <w:p w14:paraId="1A0BD6C0">
            <w:pPr>
              <w:jc w:val="center"/>
              <w:rPr>
                <w:rFonts w:ascii="宋体" w:hAnsi="宋体"/>
                <w:b/>
                <w:bCs/>
                <w:color w:val="000000"/>
              </w:rPr>
            </w:pPr>
            <w:r>
              <w:rPr>
                <w:rFonts w:hint="eastAsia" w:ascii="宋体" w:hAnsi="宋体"/>
                <w:b/>
                <w:bCs/>
                <w:color w:val="000000"/>
              </w:rPr>
              <w:t>模块</w:t>
            </w:r>
          </w:p>
        </w:tc>
        <w:tc>
          <w:tcPr>
            <w:tcW w:w="771" w:type="pct"/>
            <w:shd w:val="clear" w:color="000000" w:fill="BFBFBF"/>
            <w:vAlign w:val="center"/>
          </w:tcPr>
          <w:p w14:paraId="58FB9855">
            <w:pPr>
              <w:jc w:val="center"/>
              <w:rPr>
                <w:rFonts w:ascii="宋体" w:hAnsi="宋体"/>
                <w:b/>
                <w:bCs/>
                <w:color w:val="000000"/>
              </w:rPr>
            </w:pPr>
            <w:r>
              <w:rPr>
                <w:rFonts w:hint="eastAsia" w:ascii="宋体" w:hAnsi="宋体"/>
                <w:b/>
                <w:bCs/>
                <w:color w:val="000000"/>
              </w:rPr>
              <w:t>指标项</w:t>
            </w:r>
          </w:p>
        </w:tc>
        <w:tc>
          <w:tcPr>
            <w:tcW w:w="3659" w:type="pct"/>
            <w:shd w:val="clear" w:color="auto" w:fill="BEBEBE"/>
            <w:vAlign w:val="center"/>
          </w:tcPr>
          <w:p w14:paraId="48942FA7">
            <w:pPr>
              <w:jc w:val="center"/>
              <w:rPr>
                <w:rFonts w:ascii="宋体" w:hAnsi="宋体"/>
                <w:b/>
                <w:bCs/>
                <w:color w:val="000000"/>
              </w:rPr>
            </w:pPr>
            <w:r>
              <w:rPr>
                <w:rFonts w:hint="eastAsia" w:ascii="宋体" w:hAnsi="宋体"/>
                <w:b/>
                <w:bCs/>
                <w:color w:val="000000"/>
              </w:rPr>
              <w:t>技术要求</w:t>
            </w:r>
          </w:p>
        </w:tc>
      </w:tr>
      <w:tr w14:paraId="6BA0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restart"/>
            <w:vAlign w:val="center"/>
          </w:tcPr>
          <w:p w14:paraId="6A6E6372">
            <w:pPr>
              <w:rPr>
                <w:rFonts w:ascii="宋体" w:hAnsi="宋体"/>
                <w:bCs/>
                <w:color w:val="000000"/>
                <w:sz w:val="20"/>
                <w:szCs w:val="20"/>
              </w:rPr>
            </w:pPr>
            <w:r>
              <w:rPr>
                <w:rFonts w:hint="eastAsia" w:ascii="宋体" w:hAnsi="宋体"/>
                <w:bCs/>
                <w:color w:val="000000"/>
                <w:sz w:val="20"/>
                <w:szCs w:val="20"/>
              </w:rPr>
              <w:t>资产</w:t>
            </w:r>
          </w:p>
          <w:p w14:paraId="30D0C4FF">
            <w:pPr>
              <w:rPr>
                <w:rFonts w:ascii="宋体" w:hAnsi="宋体"/>
                <w:bCs/>
                <w:color w:val="000000"/>
                <w:sz w:val="20"/>
                <w:szCs w:val="20"/>
              </w:rPr>
            </w:pPr>
            <w:r>
              <w:rPr>
                <w:rFonts w:hint="eastAsia" w:ascii="宋体" w:hAnsi="宋体"/>
                <w:bCs/>
                <w:color w:val="000000"/>
                <w:sz w:val="20"/>
                <w:szCs w:val="20"/>
              </w:rPr>
              <w:t>管理</w:t>
            </w:r>
          </w:p>
          <w:p w14:paraId="261866F7">
            <w:pPr>
              <w:rPr>
                <w:rFonts w:ascii="宋体" w:hAnsi="宋体"/>
                <w:bCs/>
                <w:color w:val="000000"/>
                <w:sz w:val="20"/>
                <w:szCs w:val="20"/>
              </w:rPr>
            </w:pPr>
            <w:r>
              <w:rPr>
                <w:rFonts w:hint="eastAsia" w:ascii="宋体" w:hAnsi="宋体"/>
                <w:bCs/>
                <w:color w:val="000000"/>
                <w:sz w:val="20"/>
                <w:szCs w:val="20"/>
              </w:rPr>
              <w:t>模块</w:t>
            </w:r>
          </w:p>
        </w:tc>
        <w:tc>
          <w:tcPr>
            <w:tcW w:w="771" w:type="pct"/>
            <w:vMerge w:val="restart"/>
            <w:vAlign w:val="center"/>
          </w:tcPr>
          <w:p w14:paraId="656D54DA">
            <w:pPr>
              <w:jc w:val="center"/>
              <w:rPr>
                <w:rFonts w:ascii="宋体" w:hAnsi="宋体"/>
                <w:bCs/>
                <w:color w:val="000000"/>
                <w:sz w:val="20"/>
                <w:szCs w:val="20"/>
              </w:rPr>
            </w:pPr>
            <w:r>
              <w:rPr>
                <w:rFonts w:hint="eastAsia" w:ascii="宋体" w:hAnsi="宋体"/>
                <w:bCs/>
                <w:color w:val="000000"/>
                <w:sz w:val="20"/>
                <w:szCs w:val="20"/>
              </w:rPr>
              <w:t>资产</w:t>
            </w:r>
            <w:r>
              <w:rPr>
                <w:rFonts w:hint="eastAsia" w:ascii="宋体" w:hAnsi="宋体"/>
                <w:bCs/>
                <w:color w:val="000000"/>
                <w:sz w:val="20"/>
                <w:szCs w:val="20"/>
                <w:lang w:eastAsia="zh-Hans"/>
              </w:rPr>
              <w:t>管理</w:t>
            </w:r>
          </w:p>
        </w:tc>
        <w:tc>
          <w:tcPr>
            <w:tcW w:w="3659" w:type="pct"/>
            <w:vAlign w:val="center"/>
          </w:tcPr>
          <w:p w14:paraId="3CB9E9B0">
            <w:pPr>
              <w:rPr>
                <w:rFonts w:ascii="宋体" w:hAnsi="宋体"/>
                <w:bCs/>
                <w:color w:val="000000"/>
                <w:sz w:val="20"/>
                <w:szCs w:val="20"/>
              </w:rPr>
            </w:pPr>
            <w:r>
              <w:rPr>
                <w:rFonts w:hint="eastAsia" w:ascii="宋体" w:hAnsi="宋体"/>
                <w:bCs/>
                <w:color w:val="000000"/>
                <w:sz w:val="20"/>
                <w:szCs w:val="20"/>
              </w:rPr>
              <w:t>平台提供完整的资产管理功能，包括资产的录入、批量导入、管理等功能，并以多种可视化方式进行展示。</w:t>
            </w:r>
          </w:p>
        </w:tc>
      </w:tr>
      <w:tr w14:paraId="791D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3C678A90">
            <w:pPr>
              <w:rPr>
                <w:rFonts w:ascii="宋体" w:hAnsi="宋体"/>
                <w:bCs/>
                <w:color w:val="000000"/>
                <w:sz w:val="20"/>
                <w:szCs w:val="20"/>
              </w:rPr>
            </w:pPr>
          </w:p>
        </w:tc>
        <w:tc>
          <w:tcPr>
            <w:tcW w:w="771" w:type="pct"/>
            <w:vMerge w:val="continue"/>
            <w:vAlign w:val="center"/>
          </w:tcPr>
          <w:p w14:paraId="700B98C5">
            <w:pPr>
              <w:jc w:val="center"/>
              <w:rPr>
                <w:rFonts w:ascii="宋体" w:hAnsi="宋体"/>
                <w:bCs/>
                <w:color w:val="000000"/>
                <w:sz w:val="20"/>
                <w:szCs w:val="20"/>
              </w:rPr>
            </w:pPr>
          </w:p>
        </w:tc>
        <w:tc>
          <w:tcPr>
            <w:tcW w:w="3659" w:type="pct"/>
            <w:vAlign w:val="center"/>
          </w:tcPr>
          <w:p w14:paraId="1CA789DA">
            <w:pPr>
              <w:rPr>
                <w:rFonts w:ascii="宋体" w:hAnsi="宋体"/>
                <w:bCs/>
                <w:color w:val="000000"/>
                <w:sz w:val="20"/>
                <w:szCs w:val="20"/>
              </w:rPr>
            </w:pPr>
            <w:r>
              <w:rPr>
                <w:rFonts w:hint="eastAsia" w:ascii="宋体" w:hAnsi="宋体"/>
                <w:bCs/>
                <w:color w:val="000000"/>
                <w:sz w:val="20"/>
                <w:szCs w:val="20"/>
              </w:rPr>
              <w:t>★支持按资产重要程度、资产区域和组织架构将资产分级分类管理。</w:t>
            </w:r>
          </w:p>
        </w:tc>
      </w:tr>
      <w:tr w14:paraId="319F3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63A00575">
            <w:pPr>
              <w:rPr>
                <w:rFonts w:ascii="宋体" w:hAnsi="宋体"/>
                <w:bCs/>
                <w:color w:val="000000"/>
                <w:sz w:val="20"/>
                <w:szCs w:val="20"/>
              </w:rPr>
            </w:pPr>
          </w:p>
        </w:tc>
        <w:tc>
          <w:tcPr>
            <w:tcW w:w="771" w:type="pct"/>
            <w:vMerge w:val="continue"/>
            <w:vAlign w:val="center"/>
          </w:tcPr>
          <w:p w14:paraId="0EA39D74">
            <w:pPr>
              <w:jc w:val="center"/>
              <w:rPr>
                <w:rFonts w:ascii="宋体" w:hAnsi="宋体"/>
                <w:bCs/>
                <w:color w:val="000000"/>
                <w:sz w:val="20"/>
                <w:szCs w:val="20"/>
              </w:rPr>
            </w:pPr>
          </w:p>
        </w:tc>
        <w:tc>
          <w:tcPr>
            <w:tcW w:w="3659" w:type="pct"/>
            <w:vAlign w:val="center"/>
          </w:tcPr>
          <w:p w14:paraId="377F419A">
            <w:pPr>
              <w:rPr>
                <w:rFonts w:ascii="宋体" w:hAnsi="宋体"/>
                <w:bCs/>
                <w:color w:val="000000"/>
                <w:sz w:val="20"/>
                <w:szCs w:val="20"/>
              </w:rPr>
            </w:pPr>
            <w:r>
              <w:rPr>
                <w:rFonts w:hint="eastAsia" w:ascii="宋体" w:hAnsi="宋体"/>
                <w:bCs/>
                <w:color w:val="000000"/>
                <w:sz w:val="20"/>
                <w:szCs w:val="20"/>
              </w:rPr>
              <w:t>支持关基资产和重点资产一键配置，迅速将资产进行分类标记。</w:t>
            </w:r>
          </w:p>
        </w:tc>
      </w:tr>
      <w:tr w14:paraId="6117E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72118B7F">
            <w:pPr>
              <w:rPr>
                <w:rFonts w:ascii="宋体" w:hAnsi="宋体"/>
                <w:bCs/>
                <w:color w:val="000000"/>
                <w:sz w:val="20"/>
                <w:szCs w:val="20"/>
              </w:rPr>
            </w:pPr>
          </w:p>
        </w:tc>
        <w:tc>
          <w:tcPr>
            <w:tcW w:w="771" w:type="pct"/>
            <w:vMerge w:val="continue"/>
            <w:vAlign w:val="center"/>
          </w:tcPr>
          <w:p w14:paraId="4F5D0CB2">
            <w:pPr>
              <w:jc w:val="center"/>
              <w:rPr>
                <w:rFonts w:ascii="宋体" w:hAnsi="宋体"/>
                <w:bCs/>
                <w:color w:val="000000"/>
                <w:sz w:val="20"/>
                <w:szCs w:val="20"/>
              </w:rPr>
            </w:pPr>
          </w:p>
        </w:tc>
        <w:tc>
          <w:tcPr>
            <w:tcW w:w="3659" w:type="pct"/>
            <w:vAlign w:val="center"/>
          </w:tcPr>
          <w:p w14:paraId="173118B5">
            <w:pPr>
              <w:rPr>
                <w:rFonts w:ascii="宋体" w:hAnsi="宋体"/>
                <w:bCs/>
                <w:color w:val="000000"/>
                <w:sz w:val="20"/>
                <w:szCs w:val="20"/>
              </w:rPr>
            </w:pPr>
            <w:r>
              <w:rPr>
                <w:rFonts w:hint="eastAsia" w:ascii="宋体" w:hAnsi="宋体"/>
                <w:bCs/>
                <w:color w:val="000000"/>
                <w:sz w:val="20"/>
                <w:szCs w:val="20"/>
              </w:rPr>
              <w:t>支持资产档案管理、编辑、删除功能。</w:t>
            </w:r>
          </w:p>
        </w:tc>
      </w:tr>
      <w:tr w14:paraId="14FC4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7CDB4A91">
            <w:pPr>
              <w:rPr>
                <w:rFonts w:ascii="宋体" w:hAnsi="宋体"/>
                <w:bCs/>
                <w:color w:val="000000"/>
                <w:sz w:val="20"/>
                <w:szCs w:val="20"/>
              </w:rPr>
            </w:pPr>
          </w:p>
        </w:tc>
        <w:tc>
          <w:tcPr>
            <w:tcW w:w="771" w:type="pct"/>
            <w:vMerge w:val="continue"/>
            <w:vAlign w:val="center"/>
          </w:tcPr>
          <w:p w14:paraId="27EC9C59">
            <w:pPr>
              <w:jc w:val="center"/>
              <w:rPr>
                <w:rFonts w:ascii="宋体" w:hAnsi="宋体"/>
                <w:bCs/>
                <w:color w:val="000000"/>
                <w:sz w:val="20"/>
                <w:szCs w:val="20"/>
              </w:rPr>
            </w:pPr>
          </w:p>
        </w:tc>
        <w:tc>
          <w:tcPr>
            <w:tcW w:w="3659" w:type="pct"/>
            <w:vAlign w:val="center"/>
          </w:tcPr>
          <w:p w14:paraId="5691880B">
            <w:pPr>
              <w:rPr>
                <w:rFonts w:ascii="宋体" w:hAnsi="宋体"/>
                <w:bCs/>
                <w:color w:val="000000"/>
                <w:sz w:val="20"/>
                <w:szCs w:val="20"/>
              </w:rPr>
            </w:pPr>
            <w:r>
              <w:rPr>
                <w:rFonts w:hint="eastAsia" w:ascii="宋体" w:hAnsi="宋体"/>
                <w:bCs/>
                <w:color w:val="000000"/>
                <w:sz w:val="20"/>
                <w:szCs w:val="20"/>
              </w:rPr>
              <w:t>支持资产与地图、风险、攻击打通，图上遍历资产情况。</w:t>
            </w:r>
          </w:p>
        </w:tc>
      </w:tr>
      <w:tr w14:paraId="3B3AE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0A98CEBA">
            <w:pPr>
              <w:rPr>
                <w:rFonts w:ascii="宋体" w:hAnsi="宋体"/>
                <w:bCs/>
                <w:color w:val="000000"/>
                <w:sz w:val="20"/>
                <w:szCs w:val="20"/>
              </w:rPr>
            </w:pPr>
          </w:p>
        </w:tc>
        <w:tc>
          <w:tcPr>
            <w:tcW w:w="771" w:type="pct"/>
            <w:vMerge w:val="restart"/>
            <w:vAlign w:val="center"/>
          </w:tcPr>
          <w:p w14:paraId="3AB88FE3">
            <w:pPr>
              <w:jc w:val="center"/>
              <w:rPr>
                <w:rFonts w:ascii="宋体" w:hAnsi="宋体"/>
                <w:bCs/>
                <w:color w:val="000000"/>
                <w:sz w:val="20"/>
                <w:szCs w:val="20"/>
              </w:rPr>
            </w:pPr>
            <w:r>
              <w:rPr>
                <w:rFonts w:hint="eastAsia" w:ascii="宋体" w:hAnsi="宋体"/>
                <w:bCs/>
                <w:color w:val="000000"/>
                <w:sz w:val="20"/>
                <w:szCs w:val="20"/>
              </w:rPr>
              <w:t>单位档案</w:t>
            </w:r>
          </w:p>
        </w:tc>
        <w:tc>
          <w:tcPr>
            <w:tcW w:w="3659" w:type="pct"/>
            <w:vAlign w:val="center"/>
          </w:tcPr>
          <w:p w14:paraId="202EFB89">
            <w:pPr>
              <w:rPr>
                <w:rFonts w:ascii="宋体" w:hAnsi="宋体"/>
                <w:bCs/>
                <w:color w:val="000000"/>
                <w:sz w:val="20"/>
                <w:szCs w:val="20"/>
              </w:rPr>
            </w:pPr>
            <w:r>
              <w:rPr>
                <w:rFonts w:hint="eastAsia" w:ascii="宋体" w:hAnsi="宋体"/>
                <w:bCs/>
                <w:color w:val="000000"/>
                <w:sz w:val="20"/>
                <w:szCs w:val="20"/>
              </w:rPr>
              <w:t>平台提供完整的单位管理解决方案，帮助用户直观、清晰、便捷的完成单位资产录入、资产概况总览和细分单位管理。</w:t>
            </w:r>
          </w:p>
        </w:tc>
      </w:tr>
      <w:tr w14:paraId="22281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71ED503C">
            <w:pPr>
              <w:rPr>
                <w:rFonts w:ascii="宋体" w:hAnsi="宋体"/>
                <w:bCs/>
                <w:color w:val="000000"/>
                <w:sz w:val="20"/>
                <w:szCs w:val="20"/>
              </w:rPr>
            </w:pPr>
          </w:p>
        </w:tc>
        <w:tc>
          <w:tcPr>
            <w:tcW w:w="771" w:type="pct"/>
            <w:vMerge w:val="continue"/>
            <w:vAlign w:val="center"/>
          </w:tcPr>
          <w:p w14:paraId="2B1436C5">
            <w:pPr>
              <w:jc w:val="center"/>
              <w:rPr>
                <w:rFonts w:ascii="宋体" w:hAnsi="宋体"/>
                <w:bCs/>
                <w:color w:val="000000"/>
                <w:sz w:val="20"/>
                <w:szCs w:val="20"/>
              </w:rPr>
            </w:pPr>
          </w:p>
        </w:tc>
        <w:tc>
          <w:tcPr>
            <w:tcW w:w="3659" w:type="pct"/>
            <w:vAlign w:val="center"/>
          </w:tcPr>
          <w:p w14:paraId="666FFE1A">
            <w:pPr>
              <w:rPr>
                <w:rFonts w:ascii="宋体" w:hAnsi="宋体"/>
                <w:bCs/>
                <w:color w:val="000000"/>
                <w:sz w:val="20"/>
                <w:szCs w:val="20"/>
              </w:rPr>
            </w:pPr>
            <w:r>
              <w:rPr>
                <w:rFonts w:hint="eastAsia" w:ascii="宋体" w:hAnsi="宋体"/>
                <w:bCs/>
                <w:color w:val="000000"/>
                <w:sz w:val="20"/>
                <w:szCs w:val="20"/>
              </w:rPr>
              <w:t>单位资产搜索，支持通过单位名称、单位行业、单位类型、单位标签、单位简称、单位状态、联系人、备案号等信息进行单位资产检索。</w:t>
            </w:r>
          </w:p>
        </w:tc>
      </w:tr>
      <w:tr w14:paraId="20B33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428C9099">
            <w:pPr>
              <w:rPr>
                <w:rFonts w:ascii="宋体" w:hAnsi="宋体"/>
                <w:bCs/>
                <w:color w:val="000000"/>
                <w:sz w:val="20"/>
                <w:szCs w:val="20"/>
              </w:rPr>
            </w:pPr>
          </w:p>
        </w:tc>
        <w:tc>
          <w:tcPr>
            <w:tcW w:w="771" w:type="pct"/>
            <w:vMerge w:val="continue"/>
            <w:vAlign w:val="center"/>
          </w:tcPr>
          <w:p w14:paraId="33C83E33">
            <w:pPr>
              <w:jc w:val="center"/>
              <w:rPr>
                <w:rFonts w:ascii="宋体" w:hAnsi="宋体"/>
                <w:bCs/>
                <w:color w:val="000000"/>
                <w:sz w:val="20"/>
                <w:szCs w:val="20"/>
              </w:rPr>
            </w:pPr>
          </w:p>
        </w:tc>
        <w:tc>
          <w:tcPr>
            <w:tcW w:w="3659" w:type="pct"/>
            <w:vAlign w:val="center"/>
          </w:tcPr>
          <w:p w14:paraId="1D3C86D7">
            <w:pPr>
              <w:rPr>
                <w:rFonts w:ascii="宋体" w:hAnsi="宋体"/>
                <w:bCs/>
                <w:color w:val="000000"/>
                <w:sz w:val="20"/>
                <w:szCs w:val="20"/>
              </w:rPr>
            </w:pPr>
            <w:r>
              <w:rPr>
                <w:rFonts w:hint="eastAsia" w:ascii="宋体" w:hAnsi="宋体"/>
                <w:bCs/>
                <w:color w:val="000000"/>
                <w:sz w:val="20"/>
                <w:szCs w:val="20"/>
              </w:rPr>
              <w:t>支持卡片式单位资产详细信息展示，展示内容包括单位名称、官网链接、统一信用代码、联系人、详细地址、系统信息、资产底数、信息发布信息等。</w:t>
            </w:r>
          </w:p>
        </w:tc>
      </w:tr>
      <w:tr w14:paraId="04DF7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16694853">
            <w:pPr>
              <w:rPr>
                <w:rFonts w:ascii="宋体" w:hAnsi="宋体"/>
                <w:bCs/>
                <w:color w:val="000000"/>
                <w:sz w:val="20"/>
                <w:szCs w:val="20"/>
              </w:rPr>
            </w:pPr>
          </w:p>
        </w:tc>
        <w:tc>
          <w:tcPr>
            <w:tcW w:w="771" w:type="pct"/>
            <w:vMerge w:val="continue"/>
            <w:vAlign w:val="center"/>
          </w:tcPr>
          <w:p w14:paraId="4E5A05C4">
            <w:pPr>
              <w:jc w:val="center"/>
              <w:rPr>
                <w:rFonts w:ascii="宋体" w:hAnsi="宋体"/>
                <w:bCs/>
                <w:color w:val="000000"/>
                <w:sz w:val="20"/>
                <w:szCs w:val="20"/>
              </w:rPr>
            </w:pPr>
          </w:p>
        </w:tc>
        <w:tc>
          <w:tcPr>
            <w:tcW w:w="3659" w:type="pct"/>
            <w:vAlign w:val="center"/>
          </w:tcPr>
          <w:p w14:paraId="7874B955">
            <w:pPr>
              <w:rPr>
                <w:rFonts w:ascii="宋体" w:hAnsi="宋体"/>
                <w:bCs/>
                <w:color w:val="000000"/>
                <w:sz w:val="20"/>
                <w:szCs w:val="20"/>
              </w:rPr>
            </w:pPr>
            <w:r>
              <w:rPr>
                <w:rFonts w:hint="eastAsia" w:ascii="宋体" w:hAnsi="宋体"/>
                <w:bCs/>
                <w:color w:val="000000"/>
                <w:sz w:val="20"/>
                <w:szCs w:val="20"/>
              </w:rPr>
              <w:t>支持单位资产标签展示，标签类型包括：单位属性标签、单位行业标签、告警信息标签、风险预警标签和自定义标签等。</w:t>
            </w:r>
          </w:p>
        </w:tc>
      </w:tr>
      <w:tr w14:paraId="1589F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44FC4200">
            <w:pPr>
              <w:rPr>
                <w:rFonts w:ascii="宋体" w:hAnsi="宋体"/>
                <w:bCs/>
                <w:color w:val="000000"/>
                <w:sz w:val="20"/>
                <w:szCs w:val="20"/>
              </w:rPr>
            </w:pPr>
          </w:p>
        </w:tc>
        <w:tc>
          <w:tcPr>
            <w:tcW w:w="771" w:type="pct"/>
            <w:vMerge w:val="continue"/>
            <w:vAlign w:val="center"/>
          </w:tcPr>
          <w:p w14:paraId="203D7E6C">
            <w:pPr>
              <w:jc w:val="center"/>
              <w:rPr>
                <w:rFonts w:ascii="宋体" w:hAnsi="宋体"/>
                <w:bCs/>
                <w:color w:val="000000"/>
                <w:sz w:val="20"/>
                <w:szCs w:val="20"/>
              </w:rPr>
            </w:pPr>
          </w:p>
        </w:tc>
        <w:tc>
          <w:tcPr>
            <w:tcW w:w="3659" w:type="pct"/>
            <w:vAlign w:val="center"/>
          </w:tcPr>
          <w:p w14:paraId="462DA7E0">
            <w:pPr>
              <w:rPr>
                <w:rFonts w:ascii="宋体" w:hAnsi="宋体"/>
                <w:bCs/>
                <w:color w:val="000000"/>
                <w:sz w:val="20"/>
                <w:szCs w:val="20"/>
              </w:rPr>
            </w:pPr>
            <w:r>
              <w:rPr>
                <w:rFonts w:hint="eastAsia" w:ascii="宋体" w:hAnsi="宋体"/>
                <w:bCs/>
                <w:color w:val="000000"/>
                <w:sz w:val="20"/>
                <w:szCs w:val="20"/>
              </w:rPr>
              <w:t>单位管理信息展示包括单位名称、区域、单位类型、所属行业、应用系统、资产数、系统备案和单位详情信息。</w:t>
            </w:r>
          </w:p>
        </w:tc>
      </w:tr>
      <w:tr w14:paraId="50CB1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2D1B65FB">
            <w:pPr>
              <w:rPr>
                <w:rFonts w:ascii="宋体" w:hAnsi="宋体"/>
                <w:bCs/>
                <w:color w:val="000000"/>
                <w:sz w:val="20"/>
                <w:szCs w:val="20"/>
              </w:rPr>
            </w:pPr>
          </w:p>
        </w:tc>
        <w:tc>
          <w:tcPr>
            <w:tcW w:w="771" w:type="pct"/>
            <w:vMerge w:val="continue"/>
            <w:vAlign w:val="center"/>
          </w:tcPr>
          <w:p w14:paraId="608427F1">
            <w:pPr>
              <w:jc w:val="center"/>
              <w:rPr>
                <w:rFonts w:ascii="宋体" w:hAnsi="宋体"/>
                <w:bCs/>
                <w:color w:val="000000"/>
                <w:sz w:val="20"/>
                <w:szCs w:val="20"/>
              </w:rPr>
            </w:pPr>
          </w:p>
        </w:tc>
        <w:tc>
          <w:tcPr>
            <w:tcW w:w="3659" w:type="pct"/>
            <w:vAlign w:val="center"/>
          </w:tcPr>
          <w:p w14:paraId="08AF4D65">
            <w:pPr>
              <w:rPr>
                <w:rFonts w:ascii="宋体" w:hAnsi="宋体"/>
                <w:bCs/>
                <w:color w:val="000000"/>
                <w:sz w:val="20"/>
                <w:szCs w:val="20"/>
              </w:rPr>
            </w:pPr>
            <w:bookmarkStart w:id="0" w:name="_Hlk137027128"/>
            <w:r>
              <w:rPr>
                <w:rFonts w:hint="eastAsia" w:ascii="宋体" w:hAnsi="宋体"/>
                <w:bCs/>
                <w:color w:val="000000"/>
                <w:sz w:val="20"/>
                <w:szCs w:val="20"/>
              </w:rPr>
              <w:t>支持单位详情信息快速浏览，信息至少包括单位信息、安全检测、人员信息、业务系统、资产、供应链、档案时光轴等全部字段，并且能查看关联的历史安全事件、历史安全隐患和历史攻击告警，并一键展开事件详情进行处置或通报和支持进行系统画像快速浏览，信息同样包括系统信息、安全监测、等保信息、供应链、人员信息、单位信息、档案时光轴等字段。</w:t>
            </w:r>
            <w:bookmarkEnd w:id="0"/>
          </w:p>
        </w:tc>
      </w:tr>
      <w:tr w14:paraId="154A1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58C7493F">
            <w:pPr>
              <w:rPr>
                <w:rFonts w:ascii="宋体" w:hAnsi="宋体"/>
                <w:bCs/>
                <w:color w:val="000000"/>
                <w:sz w:val="20"/>
                <w:szCs w:val="20"/>
              </w:rPr>
            </w:pPr>
          </w:p>
        </w:tc>
        <w:tc>
          <w:tcPr>
            <w:tcW w:w="771" w:type="pct"/>
            <w:vMerge w:val="restart"/>
            <w:vAlign w:val="center"/>
          </w:tcPr>
          <w:p w14:paraId="7E1F3543">
            <w:pPr>
              <w:jc w:val="center"/>
              <w:rPr>
                <w:rFonts w:ascii="宋体" w:hAnsi="宋体"/>
                <w:bCs/>
                <w:color w:val="000000"/>
                <w:sz w:val="20"/>
                <w:szCs w:val="20"/>
                <w:lang w:eastAsia="zh-Hans"/>
              </w:rPr>
            </w:pPr>
            <w:r>
              <w:rPr>
                <w:rFonts w:hint="eastAsia" w:ascii="宋体" w:hAnsi="宋体"/>
                <w:bCs/>
                <w:color w:val="000000"/>
                <w:sz w:val="20"/>
                <w:szCs w:val="20"/>
                <w:lang w:eastAsia="zh-Hans"/>
              </w:rPr>
              <w:t>系统档案</w:t>
            </w:r>
          </w:p>
        </w:tc>
        <w:tc>
          <w:tcPr>
            <w:tcW w:w="3659" w:type="pct"/>
            <w:vAlign w:val="center"/>
          </w:tcPr>
          <w:p w14:paraId="752A6E71">
            <w:pPr>
              <w:rPr>
                <w:rFonts w:ascii="宋体" w:hAnsi="宋体"/>
                <w:bCs/>
                <w:color w:val="000000"/>
                <w:sz w:val="20"/>
                <w:szCs w:val="20"/>
              </w:rPr>
            </w:pPr>
            <w:r>
              <w:rPr>
                <w:rFonts w:hint="eastAsia" w:ascii="宋体" w:hAnsi="宋体"/>
                <w:bCs/>
                <w:color w:val="000000"/>
                <w:sz w:val="20"/>
                <w:szCs w:val="20"/>
              </w:rPr>
              <w:t>平台提供完整的系统管理解决方案，帮助用户直观、清晰、便捷的完成系统资产录入、系统概况总览和细分系统管理。</w:t>
            </w:r>
          </w:p>
        </w:tc>
      </w:tr>
      <w:tr w14:paraId="2D22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45C4F83F">
            <w:pPr>
              <w:rPr>
                <w:rFonts w:ascii="宋体" w:hAnsi="宋体"/>
                <w:bCs/>
                <w:color w:val="000000"/>
                <w:sz w:val="20"/>
                <w:szCs w:val="20"/>
              </w:rPr>
            </w:pPr>
          </w:p>
        </w:tc>
        <w:tc>
          <w:tcPr>
            <w:tcW w:w="771" w:type="pct"/>
            <w:vMerge w:val="continue"/>
            <w:vAlign w:val="center"/>
          </w:tcPr>
          <w:p w14:paraId="19DB5F78">
            <w:pPr>
              <w:jc w:val="center"/>
              <w:rPr>
                <w:rFonts w:ascii="宋体" w:hAnsi="宋体"/>
                <w:bCs/>
                <w:color w:val="000000"/>
                <w:sz w:val="20"/>
                <w:szCs w:val="20"/>
                <w:lang w:eastAsia="zh-Hans"/>
              </w:rPr>
            </w:pPr>
          </w:p>
        </w:tc>
        <w:tc>
          <w:tcPr>
            <w:tcW w:w="3659" w:type="pct"/>
            <w:vAlign w:val="center"/>
          </w:tcPr>
          <w:p w14:paraId="6B272602">
            <w:pPr>
              <w:rPr>
                <w:rFonts w:ascii="宋体" w:hAnsi="宋体"/>
                <w:bCs/>
                <w:color w:val="000000"/>
                <w:sz w:val="20"/>
                <w:szCs w:val="20"/>
              </w:rPr>
            </w:pPr>
            <w:r>
              <w:rPr>
                <w:rFonts w:hint="eastAsia" w:ascii="宋体" w:hAnsi="宋体"/>
                <w:bCs/>
                <w:color w:val="000000"/>
                <w:sz w:val="20"/>
                <w:szCs w:val="20"/>
              </w:rPr>
              <w:t>系统资产搜索，平台支持通过单位名称、系统域名、风险系统、系统名称、系统类型、系统标签、系统IP、服务组件等信息进行系统资产检索。</w:t>
            </w:r>
          </w:p>
        </w:tc>
      </w:tr>
      <w:tr w14:paraId="3C36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2DCCDD00">
            <w:pPr>
              <w:rPr>
                <w:rFonts w:ascii="宋体" w:hAnsi="宋体"/>
                <w:bCs/>
                <w:color w:val="000000"/>
                <w:sz w:val="20"/>
                <w:szCs w:val="20"/>
              </w:rPr>
            </w:pPr>
          </w:p>
        </w:tc>
        <w:tc>
          <w:tcPr>
            <w:tcW w:w="771" w:type="pct"/>
            <w:vMerge w:val="continue"/>
            <w:vAlign w:val="center"/>
          </w:tcPr>
          <w:p w14:paraId="5AA36D0C">
            <w:pPr>
              <w:jc w:val="center"/>
              <w:rPr>
                <w:rFonts w:ascii="宋体" w:hAnsi="宋体"/>
                <w:bCs/>
                <w:color w:val="000000"/>
                <w:sz w:val="20"/>
                <w:szCs w:val="20"/>
                <w:lang w:eastAsia="zh-Hans"/>
              </w:rPr>
            </w:pPr>
          </w:p>
        </w:tc>
        <w:tc>
          <w:tcPr>
            <w:tcW w:w="3659" w:type="pct"/>
            <w:vAlign w:val="center"/>
          </w:tcPr>
          <w:p w14:paraId="3B0C64F4">
            <w:pPr>
              <w:rPr>
                <w:rFonts w:ascii="宋体" w:hAnsi="宋体"/>
                <w:bCs/>
                <w:color w:val="000000"/>
                <w:sz w:val="20"/>
                <w:szCs w:val="20"/>
              </w:rPr>
            </w:pPr>
            <w:r>
              <w:rPr>
                <w:rFonts w:hint="eastAsia" w:ascii="宋体" w:hAnsi="宋体"/>
                <w:bCs/>
                <w:color w:val="000000"/>
                <w:sz w:val="20"/>
                <w:szCs w:val="20"/>
              </w:rPr>
              <w:t>平台支持不低于4种系统风险标签，不低于20种系统属性标签，不低于4种系统类型标签，并支持多属性标签联合检索。</w:t>
            </w:r>
          </w:p>
        </w:tc>
      </w:tr>
      <w:tr w14:paraId="799C2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00646BEE">
            <w:pPr>
              <w:rPr>
                <w:rFonts w:ascii="宋体" w:hAnsi="宋体"/>
                <w:bCs/>
                <w:color w:val="000000"/>
                <w:sz w:val="20"/>
                <w:szCs w:val="20"/>
              </w:rPr>
            </w:pPr>
          </w:p>
        </w:tc>
        <w:tc>
          <w:tcPr>
            <w:tcW w:w="771" w:type="pct"/>
            <w:vMerge w:val="continue"/>
            <w:vAlign w:val="center"/>
          </w:tcPr>
          <w:p w14:paraId="6BF0C944">
            <w:pPr>
              <w:jc w:val="center"/>
              <w:rPr>
                <w:rFonts w:ascii="宋体" w:hAnsi="宋体"/>
                <w:bCs/>
                <w:color w:val="000000"/>
                <w:sz w:val="20"/>
                <w:szCs w:val="20"/>
                <w:lang w:eastAsia="zh-Hans"/>
              </w:rPr>
            </w:pPr>
          </w:p>
        </w:tc>
        <w:tc>
          <w:tcPr>
            <w:tcW w:w="3659" w:type="pct"/>
            <w:vAlign w:val="center"/>
          </w:tcPr>
          <w:p w14:paraId="2C33F0DE">
            <w:pPr>
              <w:rPr>
                <w:rFonts w:ascii="宋体" w:hAnsi="宋体"/>
                <w:bCs/>
                <w:color w:val="000000"/>
                <w:sz w:val="20"/>
                <w:szCs w:val="20"/>
              </w:rPr>
            </w:pPr>
            <w:r>
              <w:rPr>
                <w:rFonts w:hint="eastAsia" w:ascii="宋体" w:hAnsi="宋体"/>
                <w:bCs/>
                <w:color w:val="000000"/>
                <w:sz w:val="20"/>
                <w:szCs w:val="20"/>
              </w:rPr>
              <w:t>系统信息概览，系统根据风险等级进行风险概况查看和风险变化趋势查看。</w:t>
            </w:r>
          </w:p>
        </w:tc>
      </w:tr>
      <w:tr w14:paraId="128C2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41FD92EC">
            <w:pPr>
              <w:rPr>
                <w:rFonts w:ascii="宋体" w:hAnsi="宋体"/>
                <w:bCs/>
                <w:color w:val="000000"/>
                <w:sz w:val="20"/>
                <w:szCs w:val="20"/>
              </w:rPr>
            </w:pPr>
          </w:p>
        </w:tc>
        <w:tc>
          <w:tcPr>
            <w:tcW w:w="771" w:type="pct"/>
            <w:vMerge w:val="continue"/>
            <w:vAlign w:val="center"/>
          </w:tcPr>
          <w:p w14:paraId="42DAC21E">
            <w:pPr>
              <w:jc w:val="center"/>
              <w:rPr>
                <w:rFonts w:ascii="宋体" w:hAnsi="宋体"/>
                <w:bCs/>
                <w:color w:val="000000"/>
                <w:sz w:val="20"/>
                <w:szCs w:val="20"/>
                <w:lang w:eastAsia="zh-Hans"/>
              </w:rPr>
            </w:pPr>
          </w:p>
        </w:tc>
        <w:tc>
          <w:tcPr>
            <w:tcW w:w="3659" w:type="pct"/>
            <w:vAlign w:val="center"/>
          </w:tcPr>
          <w:p w14:paraId="2F6A7580">
            <w:pPr>
              <w:rPr>
                <w:rFonts w:ascii="宋体" w:hAnsi="宋体"/>
                <w:bCs/>
                <w:color w:val="000000"/>
                <w:sz w:val="20"/>
                <w:szCs w:val="20"/>
              </w:rPr>
            </w:pPr>
            <w:r>
              <w:rPr>
                <w:rFonts w:hint="eastAsia" w:ascii="宋体" w:hAnsi="宋体"/>
                <w:bCs/>
                <w:color w:val="000000"/>
                <w:sz w:val="20"/>
                <w:szCs w:val="20"/>
              </w:rPr>
              <w:t>依据等保和关保制度对单位信息展示要求，</w:t>
            </w:r>
            <w:bookmarkStart w:id="1" w:name="_Hlk133427939"/>
            <w:r>
              <w:rPr>
                <w:rFonts w:hint="eastAsia" w:ascii="宋体" w:hAnsi="宋体"/>
                <w:bCs/>
                <w:color w:val="000000"/>
                <w:sz w:val="20"/>
                <w:szCs w:val="20"/>
              </w:rPr>
              <w:t>支持卡片式、缩略图方式展示系统资产信息，展示内容包括系统名称、官网IP、详细地址、安全事件、网络攻击、风险隐患等。</w:t>
            </w:r>
            <w:bookmarkEnd w:id="1"/>
          </w:p>
        </w:tc>
      </w:tr>
      <w:tr w14:paraId="20C4D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62AE3C2E">
            <w:pPr>
              <w:rPr>
                <w:rFonts w:ascii="宋体" w:hAnsi="宋体"/>
                <w:bCs/>
                <w:color w:val="000000"/>
                <w:sz w:val="20"/>
                <w:szCs w:val="20"/>
              </w:rPr>
            </w:pPr>
          </w:p>
        </w:tc>
        <w:tc>
          <w:tcPr>
            <w:tcW w:w="771" w:type="pct"/>
            <w:vMerge w:val="continue"/>
            <w:vAlign w:val="center"/>
          </w:tcPr>
          <w:p w14:paraId="4524FB5C">
            <w:pPr>
              <w:jc w:val="center"/>
              <w:rPr>
                <w:rFonts w:ascii="宋体" w:hAnsi="宋体"/>
                <w:bCs/>
                <w:color w:val="000000"/>
                <w:sz w:val="20"/>
                <w:szCs w:val="20"/>
                <w:lang w:eastAsia="zh-Hans"/>
              </w:rPr>
            </w:pPr>
          </w:p>
        </w:tc>
        <w:tc>
          <w:tcPr>
            <w:tcW w:w="3659" w:type="pct"/>
            <w:vAlign w:val="center"/>
          </w:tcPr>
          <w:p w14:paraId="28522C6F">
            <w:pPr>
              <w:rPr>
                <w:rFonts w:ascii="宋体" w:hAnsi="宋体"/>
                <w:bCs/>
                <w:color w:val="000000"/>
                <w:sz w:val="20"/>
                <w:szCs w:val="20"/>
              </w:rPr>
            </w:pPr>
            <w:r>
              <w:rPr>
                <w:rFonts w:hint="eastAsia" w:ascii="宋体" w:hAnsi="宋体"/>
                <w:bCs/>
                <w:color w:val="000000"/>
                <w:sz w:val="20"/>
                <w:szCs w:val="20"/>
              </w:rPr>
              <w:t>支持系统资产标签展示，标签类型包括：系统属性标签、系统风险标签。</w:t>
            </w:r>
          </w:p>
        </w:tc>
      </w:tr>
      <w:tr w14:paraId="1F8EF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616C5A81">
            <w:pPr>
              <w:rPr>
                <w:rFonts w:ascii="宋体" w:hAnsi="宋体"/>
                <w:bCs/>
                <w:color w:val="000000"/>
                <w:sz w:val="20"/>
                <w:szCs w:val="20"/>
              </w:rPr>
            </w:pPr>
          </w:p>
        </w:tc>
        <w:tc>
          <w:tcPr>
            <w:tcW w:w="771" w:type="pct"/>
            <w:vMerge w:val="continue"/>
            <w:vAlign w:val="center"/>
          </w:tcPr>
          <w:p w14:paraId="43875E53">
            <w:pPr>
              <w:jc w:val="center"/>
              <w:rPr>
                <w:rFonts w:ascii="宋体" w:hAnsi="宋体"/>
                <w:bCs/>
                <w:color w:val="000000"/>
                <w:sz w:val="20"/>
                <w:szCs w:val="20"/>
                <w:lang w:eastAsia="zh-Hans"/>
              </w:rPr>
            </w:pPr>
          </w:p>
        </w:tc>
        <w:tc>
          <w:tcPr>
            <w:tcW w:w="3659" w:type="pct"/>
            <w:vAlign w:val="center"/>
          </w:tcPr>
          <w:p w14:paraId="19B0A8C1">
            <w:pPr>
              <w:rPr>
                <w:rFonts w:ascii="宋体" w:hAnsi="宋体"/>
                <w:bCs/>
                <w:color w:val="000000"/>
                <w:sz w:val="20"/>
                <w:szCs w:val="20"/>
              </w:rPr>
            </w:pPr>
            <w:r>
              <w:rPr>
                <w:rFonts w:hint="eastAsia" w:ascii="宋体" w:hAnsi="宋体"/>
                <w:bCs/>
                <w:color w:val="000000"/>
                <w:sz w:val="20"/>
                <w:szCs w:val="20"/>
              </w:rPr>
              <w:t>支持系统便捷管理功能，包括系统档案查看、系统信息编辑、系统删除、快速扫描功能。</w:t>
            </w:r>
          </w:p>
        </w:tc>
      </w:tr>
      <w:tr w14:paraId="7F112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0FDD0B38">
            <w:pPr>
              <w:rPr>
                <w:rFonts w:ascii="宋体" w:hAnsi="宋体"/>
                <w:bCs/>
                <w:color w:val="000000"/>
                <w:sz w:val="20"/>
                <w:szCs w:val="20"/>
              </w:rPr>
            </w:pPr>
          </w:p>
        </w:tc>
        <w:tc>
          <w:tcPr>
            <w:tcW w:w="771" w:type="pct"/>
            <w:vMerge w:val="continue"/>
            <w:vAlign w:val="center"/>
          </w:tcPr>
          <w:p w14:paraId="5682BFDF">
            <w:pPr>
              <w:jc w:val="center"/>
              <w:rPr>
                <w:rFonts w:ascii="宋体" w:hAnsi="宋体"/>
                <w:bCs/>
                <w:color w:val="000000"/>
                <w:sz w:val="20"/>
                <w:szCs w:val="20"/>
                <w:lang w:eastAsia="zh-Hans"/>
              </w:rPr>
            </w:pPr>
          </w:p>
        </w:tc>
        <w:tc>
          <w:tcPr>
            <w:tcW w:w="3659" w:type="pct"/>
            <w:vAlign w:val="center"/>
          </w:tcPr>
          <w:p w14:paraId="715DBBD2">
            <w:pPr>
              <w:rPr>
                <w:rFonts w:ascii="宋体" w:hAnsi="宋体"/>
                <w:bCs/>
                <w:color w:val="000000"/>
                <w:sz w:val="20"/>
                <w:szCs w:val="20"/>
              </w:rPr>
            </w:pPr>
            <w:r>
              <w:rPr>
                <w:rFonts w:hint="eastAsia" w:ascii="宋体" w:hAnsi="宋体"/>
                <w:bCs/>
                <w:color w:val="000000"/>
                <w:sz w:val="20"/>
                <w:szCs w:val="20"/>
              </w:rPr>
              <w:t>支持</w:t>
            </w:r>
            <w:bookmarkStart w:id="2" w:name="_Hlk133427977"/>
            <w:r>
              <w:rPr>
                <w:rFonts w:hint="eastAsia" w:ascii="宋体" w:hAnsi="宋体"/>
                <w:bCs/>
                <w:color w:val="000000"/>
                <w:sz w:val="20"/>
                <w:szCs w:val="20"/>
              </w:rPr>
              <w:t>系统画像快速浏览，信息至少包括系统信息、安全监测、防护情况、供应链、基础网络、人员信息、单位信息、档案时光轴等字段。</w:t>
            </w:r>
            <w:bookmarkEnd w:id="2"/>
          </w:p>
        </w:tc>
      </w:tr>
      <w:tr w14:paraId="7357B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2DA904F1">
            <w:pPr>
              <w:rPr>
                <w:rFonts w:ascii="宋体" w:hAnsi="宋体"/>
                <w:bCs/>
                <w:color w:val="000000"/>
                <w:sz w:val="20"/>
                <w:szCs w:val="20"/>
              </w:rPr>
            </w:pPr>
          </w:p>
        </w:tc>
        <w:tc>
          <w:tcPr>
            <w:tcW w:w="771" w:type="pct"/>
            <w:vMerge w:val="continue"/>
            <w:vAlign w:val="center"/>
          </w:tcPr>
          <w:p w14:paraId="120DE664">
            <w:pPr>
              <w:jc w:val="center"/>
              <w:rPr>
                <w:rFonts w:ascii="宋体" w:hAnsi="宋体"/>
                <w:bCs/>
                <w:color w:val="000000"/>
                <w:sz w:val="20"/>
                <w:szCs w:val="20"/>
                <w:lang w:eastAsia="zh-Hans"/>
              </w:rPr>
            </w:pPr>
          </w:p>
        </w:tc>
        <w:tc>
          <w:tcPr>
            <w:tcW w:w="3659" w:type="pct"/>
            <w:vAlign w:val="center"/>
          </w:tcPr>
          <w:p w14:paraId="2378DCAF">
            <w:pPr>
              <w:rPr>
                <w:rFonts w:ascii="宋体" w:hAnsi="宋体"/>
                <w:bCs/>
                <w:color w:val="000000"/>
                <w:sz w:val="20"/>
                <w:szCs w:val="20"/>
              </w:rPr>
            </w:pPr>
            <w:r>
              <w:rPr>
                <w:rFonts w:hint="eastAsia" w:ascii="宋体" w:hAnsi="宋体"/>
                <w:bCs/>
                <w:color w:val="000000"/>
                <w:sz w:val="20"/>
                <w:szCs w:val="20"/>
              </w:rPr>
              <w:t>支持系统档案模块与实时检测模块、分析研判模块联动，预见定位系统风险并进行分析研判。</w:t>
            </w:r>
          </w:p>
        </w:tc>
      </w:tr>
      <w:tr w14:paraId="0A4D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7EDC1B71">
            <w:pPr>
              <w:rPr>
                <w:rFonts w:ascii="宋体" w:hAnsi="宋体"/>
                <w:bCs/>
                <w:color w:val="000000"/>
                <w:sz w:val="20"/>
                <w:szCs w:val="20"/>
              </w:rPr>
            </w:pPr>
          </w:p>
        </w:tc>
        <w:tc>
          <w:tcPr>
            <w:tcW w:w="771" w:type="pct"/>
            <w:vMerge w:val="continue"/>
            <w:vAlign w:val="center"/>
          </w:tcPr>
          <w:p w14:paraId="0C4615AB">
            <w:pPr>
              <w:jc w:val="center"/>
              <w:rPr>
                <w:rFonts w:ascii="宋体" w:hAnsi="宋体"/>
                <w:bCs/>
                <w:color w:val="000000"/>
                <w:sz w:val="20"/>
                <w:szCs w:val="20"/>
                <w:lang w:eastAsia="zh-Hans"/>
              </w:rPr>
            </w:pPr>
          </w:p>
        </w:tc>
        <w:tc>
          <w:tcPr>
            <w:tcW w:w="3659" w:type="pct"/>
            <w:vAlign w:val="center"/>
          </w:tcPr>
          <w:p w14:paraId="10ABE6D7">
            <w:pPr>
              <w:rPr>
                <w:rFonts w:ascii="宋体" w:hAnsi="宋体"/>
                <w:bCs/>
                <w:color w:val="000000"/>
                <w:sz w:val="20"/>
                <w:szCs w:val="20"/>
              </w:rPr>
            </w:pPr>
            <w:r>
              <w:rPr>
                <w:rFonts w:hint="eastAsia" w:ascii="宋体" w:hAnsi="宋体"/>
                <w:bCs/>
                <w:color w:val="000000"/>
                <w:sz w:val="20"/>
                <w:szCs w:val="20"/>
              </w:rPr>
              <w:t>支持在系统卡片中查看单位近期发生的安全事件和风险隐患信息，一键展开事件详情进行研判处置。</w:t>
            </w:r>
          </w:p>
        </w:tc>
      </w:tr>
      <w:tr w14:paraId="0104C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1FFFAAFF">
            <w:pPr>
              <w:rPr>
                <w:rFonts w:ascii="宋体" w:hAnsi="宋体"/>
                <w:bCs/>
                <w:color w:val="000000"/>
                <w:sz w:val="20"/>
                <w:szCs w:val="20"/>
              </w:rPr>
            </w:pPr>
          </w:p>
        </w:tc>
        <w:tc>
          <w:tcPr>
            <w:tcW w:w="771" w:type="pct"/>
            <w:vMerge w:val="restart"/>
            <w:vAlign w:val="center"/>
          </w:tcPr>
          <w:p w14:paraId="64FCDCE9">
            <w:pPr>
              <w:jc w:val="center"/>
              <w:rPr>
                <w:rFonts w:ascii="宋体" w:hAnsi="宋体"/>
                <w:bCs/>
                <w:color w:val="000000"/>
                <w:sz w:val="20"/>
                <w:szCs w:val="20"/>
              </w:rPr>
            </w:pPr>
            <w:r>
              <w:rPr>
                <w:rFonts w:hint="eastAsia" w:ascii="宋体" w:hAnsi="宋体"/>
                <w:bCs/>
                <w:color w:val="000000"/>
                <w:sz w:val="20"/>
                <w:szCs w:val="20"/>
              </w:rPr>
              <w:t>IP资产档案</w:t>
            </w:r>
          </w:p>
        </w:tc>
        <w:tc>
          <w:tcPr>
            <w:tcW w:w="3659" w:type="pct"/>
            <w:vAlign w:val="center"/>
          </w:tcPr>
          <w:p w14:paraId="7C794135">
            <w:pPr>
              <w:rPr>
                <w:rFonts w:ascii="宋体" w:hAnsi="宋体"/>
                <w:bCs/>
                <w:color w:val="000000"/>
                <w:sz w:val="20"/>
                <w:szCs w:val="20"/>
              </w:rPr>
            </w:pPr>
            <w:r>
              <w:rPr>
                <w:rFonts w:hint="eastAsia" w:ascii="宋体" w:hAnsi="宋体"/>
                <w:bCs/>
                <w:color w:val="000000"/>
                <w:sz w:val="20"/>
                <w:szCs w:val="20"/>
              </w:rPr>
              <w:t>平台提供完整的IP资产管理解决方案，帮助用户直观、清晰、便捷的完成IP资产录入、IP资产概况总览和细分IP资产管理。</w:t>
            </w:r>
          </w:p>
        </w:tc>
      </w:tr>
      <w:tr w14:paraId="2FB96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50E9473D">
            <w:pPr>
              <w:rPr>
                <w:rFonts w:ascii="宋体" w:hAnsi="宋体"/>
                <w:bCs/>
                <w:color w:val="000000"/>
                <w:sz w:val="20"/>
                <w:szCs w:val="20"/>
              </w:rPr>
            </w:pPr>
            <w:bookmarkStart w:id="3" w:name="_Hlk133428902"/>
          </w:p>
        </w:tc>
        <w:tc>
          <w:tcPr>
            <w:tcW w:w="771" w:type="pct"/>
            <w:vMerge w:val="continue"/>
            <w:vAlign w:val="center"/>
          </w:tcPr>
          <w:p w14:paraId="391E9B3C">
            <w:pPr>
              <w:jc w:val="center"/>
              <w:rPr>
                <w:rFonts w:ascii="宋体" w:hAnsi="宋体"/>
                <w:bCs/>
                <w:color w:val="000000"/>
                <w:sz w:val="20"/>
                <w:szCs w:val="20"/>
              </w:rPr>
            </w:pPr>
          </w:p>
        </w:tc>
        <w:tc>
          <w:tcPr>
            <w:tcW w:w="3659" w:type="pct"/>
            <w:vAlign w:val="center"/>
          </w:tcPr>
          <w:p w14:paraId="32EAFE49">
            <w:pPr>
              <w:rPr>
                <w:rFonts w:ascii="宋体" w:hAnsi="宋体"/>
                <w:bCs/>
                <w:color w:val="000000"/>
                <w:sz w:val="20"/>
                <w:szCs w:val="20"/>
              </w:rPr>
            </w:pPr>
            <w:r>
              <w:rPr>
                <w:rFonts w:hint="eastAsia" w:ascii="宋体" w:hAnsi="宋体"/>
                <w:bCs/>
                <w:color w:val="000000"/>
                <w:sz w:val="20"/>
                <w:szCs w:val="20"/>
              </w:rPr>
              <w:t>IP资产搜索，平台支持通过单位名称、资产IP、资产类型、资产标签、资产评级、资产来源、资产名称等信息进行IP资产检索。</w:t>
            </w:r>
          </w:p>
        </w:tc>
      </w:tr>
      <w:tr w14:paraId="268D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02FD0E41">
            <w:pPr>
              <w:rPr>
                <w:rFonts w:ascii="宋体" w:hAnsi="宋体"/>
                <w:bCs/>
                <w:color w:val="000000"/>
                <w:sz w:val="20"/>
                <w:szCs w:val="20"/>
              </w:rPr>
            </w:pPr>
          </w:p>
        </w:tc>
        <w:tc>
          <w:tcPr>
            <w:tcW w:w="771" w:type="pct"/>
            <w:vMerge w:val="continue"/>
            <w:vAlign w:val="center"/>
          </w:tcPr>
          <w:p w14:paraId="5675FE75">
            <w:pPr>
              <w:jc w:val="center"/>
              <w:rPr>
                <w:rFonts w:ascii="宋体" w:hAnsi="宋体"/>
                <w:bCs/>
                <w:color w:val="000000"/>
                <w:sz w:val="20"/>
                <w:szCs w:val="20"/>
              </w:rPr>
            </w:pPr>
          </w:p>
        </w:tc>
        <w:tc>
          <w:tcPr>
            <w:tcW w:w="3659" w:type="pct"/>
            <w:vAlign w:val="center"/>
          </w:tcPr>
          <w:p w14:paraId="0399A7D5">
            <w:pPr>
              <w:rPr>
                <w:rFonts w:ascii="宋体" w:hAnsi="宋体"/>
                <w:bCs/>
                <w:color w:val="000000"/>
                <w:sz w:val="20"/>
                <w:szCs w:val="20"/>
              </w:rPr>
            </w:pPr>
            <w:r>
              <w:rPr>
                <w:rFonts w:hint="eastAsia" w:ascii="宋体" w:hAnsi="宋体"/>
                <w:bCs/>
                <w:color w:val="000000"/>
                <w:sz w:val="20"/>
                <w:szCs w:val="20"/>
              </w:rPr>
              <w:t>平台支持不低于6大类、40小类IP资产类型标签，不低于20种系统属性标签，不低于4种IP资产评级标签，不低于6种资产来源标签，并支持多属性联标签合检索。</w:t>
            </w:r>
          </w:p>
        </w:tc>
      </w:tr>
      <w:tr w14:paraId="4EDDD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1913E49A">
            <w:pPr>
              <w:rPr>
                <w:rFonts w:ascii="宋体" w:hAnsi="宋体"/>
                <w:bCs/>
                <w:color w:val="000000"/>
                <w:sz w:val="20"/>
                <w:szCs w:val="20"/>
              </w:rPr>
            </w:pPr>
          </w:p>
        </w:tc>
        <w:tc>
          <w:tcPr>
            <w:tcW w:w="771" w:type="pct"/>
            <w:vMerge w:val="continue"/>
            <w:vAlign w:val="center"/>
          </w:tcPr>
          <w:p w14:paraId="704063A8">
            <w:pPr>
              <w:jc w:val="center"/>
              <w:rPr>
                <w:rFonts w:ascii="宋体" w:hAnsi="宋体"/>
                <w:bCs/>
                <w:color w:val="000000"/>
                <w:sz w:val="20"/>
                <w:szCs w:val="20"/>
              </w:rPr>
            </w:pPr>
          </w:p>
        </w:tc>
        <w:tc>
          <w:tcPr>
            <w:tcW w:w="3659" w:type="pct"/>
            <w:vAlign w:val="center"/>
          </w:tcPr>
          <w:p w14:paraId="653A8FD3">
            <w:pPr>
              <w:rPr>
                <w:rFonts w:ascii="宋体" w:hAnsi="宋体"/>
                <w:bCs/>
                <w:color w:val="000000"/>
                <w:sz w:val="20"/>
                <w:szCs w:val="20"/>
              </w:rPr>
            </w:pPr>
            <w:r>
              <w:rPr>
                <w:rFonts w:hint="eastAsia" w:ascii="宋体" w:hAnsi="宋体"/>
                <w:bCs/>
                <w:color w:val="000000"/>
                <w:sz w:val="20"/>
                <w:szCs w:val="20"/>
              </w:rPr>
              <w:t>IP资产信息概览，系统根据风险等级进行风险概况查看和风险变化趋势查看。</w:t>
            </w:r>
          </w:p>
        </w:tc>
      </w:tr>
      <w:tr w14:paraId="69FA7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08BB1E38">
            <w:pPr>
              <w:rPr>
                <w:rFonts w:ascii="宋体" w:hAnsi="宋体"/>
                <w:bCs/>
                <w:color w:val="000000"/>
                <w:sz w:val="20"/>
                <w:szCs w:val="20"/>
              </w:rPr>
            </w:pPr>
          </w:p>
        </w:tc>
        <w:tc>
          <w:tcPr>
            <w:tcW w:w="771" w:type="pct"/>
            <w:vMerge w:val="continue"/>
            <w:vAlign w:val="center"/>
          </w:tcPr>
          <w:p w14:paraId="1FF808E0">
            <w:pPr>
              <w:jc w:val="center"/>
              <w:rPr>
                <w:rFonts w:ascii="宋体" w:hAnsi="宋体"/>
                <w:bCs/>
                <w:color w:val="000000"/>
                <w:sz w:val="20"/>
                <w:szCs w:val="20"/>
              </w:rPr>
            </w:pPr>
          </w:p>
        </w:tc>
        <w:tc>
          <w:tcPr>
            <w:tcW w:w="3659" w:type="pct"/>
            <w:vAlign w:val="center"/>
          </w:tcPr>
          <w:p w14:paraId="1D4BDE27">
            <w:pPr>
              <w:rPr>
                <w:rFonts w:ascii="宋体" w:hAnsi="宋体"/>
                <w:bCs/>
                <w:color w:val="000000"/>
                <w:sz w:val="20"/>
                <w:szCs w:val="20"/>
              </w:rPr>
            </w:pPr>
            <w:r>
              <w:rPr>
                <w:rFonts w:hint="eastAsia" w:ascii="宋体" w:hAnsi="宋体"/>
                <w:bCs/>
                <w:color w:val="000000"/>
                <w:sz w:val="20"/>
                <w:szCs w:val="20"/>
              </w:rPr>
              <w:t>支持卡片式、缩略图方式展示系统IP资产信息，展示内容包括IP名称、IP连接、详细地址、安全事件、网络攻击、风险隐患等。</w:t>
            </w:r>
          </w:p>
        </w:tc>
      </w:tr>
      <w:tr w14:paraId="6AC9A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07C8AB1F">
            <w:pPr>
              <w:rPr>
                <w:rFonts w:ascii="宋体" w:hAnsi="宋体"/>
                <w:bCs/>
                <w:color w:val="000000"/>
                <w:sz w:val="20"/>
                <w:szCs w:val="20"/>
              </w:rPr>
            </w:pPr>
          </w:p>
        </w:tc>
        <w:tc>
          <w:tcPr>
            <w:tcW w:w="771" w:type="pct"/>
            <w:vMerge w:val="continue"/>
            <w:vAlign w:val="center"/>
          </w:tcPr>
          <w:p w14:paraId="603D003D">
            <w:pPr>
              <w:jc w:val="center"/>
              <w:rPr>
                <w:rFonts w:ascii="宋体" w:hAnsi="宋体"/>
                <w:bCs/>
                <w:color w:val="000000"/>
                <w:sz w:val="20"/>
                <w:szCs w:val="20"/>
              </w:rPr>
            </w:pPr>
          </w:p>
        </w:tc>
        <w:tc>
          <w:tcPr>
            <w:tcW w:w="3659" w:type="pct"/>
            <w:vAlign w:val="center"/>
          </w:tcPr>
          <w:p w14:paraId="15B008B0">
            <w:pPr>
              <w:rPr>
                <w:rFonts w:ascii="宋体" w:hAnsi="宋体"/>
                <w:bCs/>
                <w:color w:val="000000"/>
                <w:sz w:val="20"/>
                <w:szCs w:val="20"/>
              </w:rPr>
            </w:pPr>
            <w:r>
              <w:rPr>
                <w:rFonts w:hint="eastAsia" w:ascii="宋体" w:hAnsi="宋体"/>
                <w:bCs/>
                <w:color w:val="000000"/>
                <w:sz w:val="20"/>
                <w:szCs w:val="20"/>
              </w:rPr>
              <w:t>支持IP资产标签展示，标签类型包括：IP资产属性标签、IP资产风险标签。</w:t>
            </w:r>
          </w:p>
        </w:tc>
      </w:tr>
      <w:tr w14:paraId="66F7E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3D535E17">
            <w:pPr>
              <w:rPr>
                <w:rFonts w:ascii="宋体" w:hAnsi="宋体"/>
                <w:bCs/>
                <w:color w:val="000000"/>
                <w:sz w:val="20"/>
                <w:szCs w:val="20"/>
              </w:rPr>
            </w:pPr>
          </w:p>
        </w:tc>
        <w:tc>
          <w:tcPr>
            <w:tcW w:w="771" w:type="pct"/>
            <w:vMerge w:val="continue"/>
            <w:vAlign w:val="center"/>
          </w:tcPr>
          <w:p w14:paraId="2C2810A6">
            <w:pPr>
              <w:jc w:val="center"/>
              <w:rPr>
                <w:rFonts w:ascii="宋体" w:hAnsi="宋体"/>
                <w:bCs/>
                <w:color w:val="000000"/>
                <w:sz w:val="20"/>
                <w:szCs w:val="20"/>
              </w:rPr>
            </w:pPr>
          </w:p>
        </w:tc>
        <w:tc>
          <w:tcPr>
            <w:tcW w:w="3659" w:type="pct"/>
            <w:vAlign w:val="center"/>
          </w:tcPr>
          <w:p w14:paraId="493F3280">
            <w:pPr>
              <w:rPr>
                <w:rFonts w:ascii="宋体" w:hAnsi="宋体"/>
                <w:bCs/>
                <w:color w:val="000000"/>
                <w:sz w:val="20"/>
                <w:szCs w:val="20"/>
              </w:rPr>
            </w:pPr>
            <w:r>
              <w:rPr>
                <w:rFonts w:hint="eastAsia" w:ascii="宋体" w:hAnsi="宋体"/>
                <w:bCs/>
                <w:color w:val="000000"/>
                <w:sz w:val="20"/>
                <w:szCs w:val="20"/>
              </w:rPr>
              <w:t>支持IP系统便捷管理功能，包括系统IP信息编辑、资产删除和快速扫描功能。</w:t>
            </w:r>
          </w:p>
        </w:tc>
      </w:tr>
      <w:tr w14:paraId="56C9C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58BDB6AC">
            <w:pPr>
              <w:rPr>
                <w:rFonts w:ascii="宋体" w:hAnsi="宋体"/>
                <w:bCs/>
                <w:color w:val="000000"/>
                <w:sz w:val="20"/>
                <w:szCs w:val="20"/>
              </w:rPr>
            </w:pPr>
          </w:p>
        </w:tc>
        <w:tc>
          <w:tcPr>
            <w:tcW w:w="771" w:type="pct"/>
            <w:vMerge w:val="continue"/>
            <w:vAlign w:val="center"/>
          </w:tcPr>
          <w:p w14:paraId="375E58FD">
            <w:pPr>
              <w:jc w:val="center"/>
              <w:rPr>
                <w:rFonts w:ascii="宋体" w:hAnsi="宋体"/>
                <w:bCs/>
                <w:color w:val="000000"/>
                <w:sz w:val="20"/>
                <w:szCs w:val="20"/>
              </w:rPr>
            </w:pPr>
          </w:p>
        </w:tc>
        <w:tc>
          <w:tcPr>
            <w:tcW w:w="3659" w:type="pct"/>
            <w:vAlign w:val="center"/>
          </w:tcPr>
          <w:p w14:paraId="405CB200">
            <w:pPr>
              <w:rPr>
                <w:rFonts w:ascii="宋体" w:hAnsi="宋体"/>
                <w:bCs/>
                <w:color w:val="000000"/>
                <w:sz w:val="20"/>
                <w:szCs w:val="20"/>
              </w:rPr>
            </w:pPr>
            <w:r>
              <w:rPr>
                <w:rFonts w:hint="eastAsia" w:ascii="宋体" w:hAnsi="宋体"/>
                <w:bCs/>
                <w:color w:val="000000"/>
                <w:sz w:val="20"/>
                <w:szCs w:val="20"/>
              </w:rPr>
              <w:t>支持系统档案模块与实时检测模块、分析研判模块联动，预见资产风险并进行分析研判。</w:t>
            </w:r>
          </w:p>
        </w:tc>
      </w:tr>
      <w:tr w14:paraId="7BDB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9" w:type="pct"/>
            <w:vMerge w:val="continue"/>
            <w:vAlign w:val="center"/>
          </w:tcPr>
          <w:p w14:paraId="5C941328">
            <w:pPr>
              <w:rPr>
                <w:rFonts w:ascii="宋体" w:hAnsi="宋体"/>
                <w:bCs/>
                <w:color w:val="000000"/>
                <w:sz w:val="20"/>
                <w:szCs w:val="20"/>
              </w:rPr>
            </w:pPr>
          </w:p>
        </w:tc>
        <w:tc>
          <w:tcPr>
            <w:tcW w:w="771" w:type="pct"/>
            <w:vMerge w:val="continue"/>
            <w:vAlign w:val="center"/>
          </w:tcPr>
          <w:p w14:paraId="60338F51">
            <w:pPr>
              <w:jc w:val="center"/>
              <w:rPr>
                <w:rFonts w:ascii="宋体" w:hAnsi="宋体"/>
                <w:bCs/>
                <w:color w:val="000000"/>
                <w:sz w:val="20"/>
                <w:szCs w:val="20"/>
              </w:rPr>
            </w:pPr>
          </w:p>
        </w:tc>
        <w:tc>
          <w:tcPr>
            <w:tcW w:w="3659" w:type="pct"/>
            <w:vAlign w:val="center"/>
          </w:tcPr>
          <w:p w14:paraId="0100C9D8">
            <w:pPr>
              <w:rPr>
                <w:rFonts w:ascii="宋体" w:hAnsi="宋体"/>
                <w:bCs/>
                <w:color w:val="000000"/>
                <w:sz w:val="20"/>
                <w:szCs w:val="20"/>
              </w:rPr>
            </w:pPr>
            <w:r>
              <w:rPr>
                <w:rFonts w:hint="eastAsia" w:ascii="宋体" w:hAnsi="宋体"/>
                <w:bCs/>
                <w:color w:val="000000"/>
                <w:sz w:val="20"/>
                <w:szCs w:val="20"/>
              </w:rPr>
              <w:t>支持在系统卡片中查看单位近期发生的安全事件和风险隐患信息，一键展开事件详情进行研判处置</w:t>
            </w:r>
          </w:p>
        </w:tc>
      </w:tr>
      <w:bookmarkEnd w:id="3"/>
      <w:tr w14:paraId="0290064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281855CF">
            <w:pPr>
              <w:rPr>
                <w:rFonts w:ascii="宋体" w:hAnsi="宋体"/>
                <w:color w:val="000000"/>
                <w:sz w:val="20"/>
                <w:szCs w:val="20"/>
                <w:lang w:eastAsia="zh-Hans"/>
              </w:rPr>
            </w:pPr>
            <w:r>
              <w:rPr>
                <w:rFonts w:hint="eastAsia" w:ascii="宋体" w:hAnsi="宋体"/>
                <w:color w:val="000000"/>
                <w:sz w:val="20"/>
                <w:szCs w:val="20"/>
                <w:lang w:eastAsia="zh-Hans"/>
              </w:rPr>
              <w:t>公告栏</w:t>
            </w:r>
          </w:p>
        </w:tc>
        <w:tc>
          <w:tcPr>
            <w:tcW w:w="771"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77ADD722">
            <w:pPr>
              <w:rPr>
                <w:rFonts w:ascii="宋体" w:hAnsi="宋体"/>
                <w:color w:val="000000"/>
                <w:sz w:val="20"/>
                <w:szCs w:val="20"/>
                <w:lang w:eastAsia="zh-Hans"/>
              </w:rPr>
            </w:pPr>
            <w:r>
              <w:rPr>
                <w:rFonts w:hint="eastAsia" w:ascii="宋体" w:hAnsi="宋体"/>
                <w:color w:val="000000"/>
                <w:sz w:val="20"/>
                <w:szCs w:val="20"/>
                <w:lang w:eastAsia="zh-Hans"/>
              </w:rPr>
              <w:t>总体描述</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46DB644">
            <w:pPr>
              <w:rPr>
                <w:rFonts w:ascii="宋体" w:hAnsi="宋体"/>
                <w:color w:val="000000"/>
                <w:sz w:val="20"/>
                <w:szCs w:val="20"/>
                <w:lang w:eastAsia="zh-Hans"/>
              </w:rPr>
            </w:pPr>
            <w:r>
              <w:rPr>
                <w:rFonts w:hint="eastAsia" w:ascii="宋体" w:hAnsi="宋体"/>
                <w:color w:val="000000"/>
                <w:sz w:val="20"/>
                <w:szCs w:val="20"/>
                <w:lang w:eastAsia="zh-Hans"/>
              </w:rPr>
              <w:t>支持立体化跟踪通报全流程周期，多维度展示通报工作开展情况，对网络安全工作进行监督考核。</w:t>
            </w:r>
          </w:p>
        </w:tc>
      </w:tr>
      <w:tr w14:paraId="288EF33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51D96760">
            <w:pPr>
              <w:rPr>
                <w:rFonts w:ascii="宋体" w:hAnsi="宋体"/>
                <w:color w:val="000000"/>
                <w:sz w:val="20"/>
                <w:szCs w:val="20"/>
                <w:lang w:eastAsia="zh-Hans"/>
              </w:rPr>
            </w:pPr>
          </w:p>
        </w:tc>
        <w:tc>
          <w:tcPr>
            <w:tcW w:w="771"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7FEBDCF9">
            <w:pPr>
              <w:rPr>
                <w:rFonts w:ascii="宋体" w:hAnsi="宋体"/>
                <w:color w:val="000000"/>
                <w:sz w:val="20"/>
                <w:szCs w:val="20"/>
                <w:lang w:eastAsia="zh-Hans"/>
              </w:rPr>
            </w:pPr>
            <w:r>
              <w:rPr>
                <w:rFonts w:hint="eastAsia" w:ascii="宋体" w:hAnsi="宋体"/>
                <w:color w:val="000000"/>
                <w:sz w:val="20"/>
                <w:szCs w:val="20"/>
                <w:lang w:eastAsia="zh-Hans"/>
              </w:rPr>
              <w:t>事项看板</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C05FDC2">
            <w:pPr>
              <w:rPr>
                <w:rFonts w:ascii="宋体" w:hAnsi="宋体"/>
                <w:color w:val="000000"/>
                <w:sz w:val="20"/>
                <w:szCs w:val="20"/>
                <w:lang w:eastAsia="zh-Hans"/>
              </w:rPr>
            </w:pPr>
            <w:r>
              <w:rPr>
                <w:rFonts w:hint="eastAsia" w:ascii="宋体" w:hAnsi="宋体"/>
                <w:color w:val="000000"/>
                <w:sz w:val="20"/>
                <w:szCs w:val="20"/>
                <w:lang w:eastAsia="zh-Hans"/>
              </w:rPr>
              <w:t>支持看板信息展示功能，包括通报、预警信息，对整个信息发布过程进行跟踪记录。</w:t>
            </w:r>
          </w:p>
        </w:tc>
      </w:tr>
      <w:tr w14:paraId="4AF336F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0A446DA5">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12D8B01E">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F3DAE3F">
            <w:pPr>
              <w:rPr>
                <w:rFonts w:ascii="宋体" w:hAnsi="宋体"/>
                <w:color w:val="000000"/>
                <w:sz w:val="20"/>
                <w:szCs w:val="20"/>
              </w:rPr>
            </w:pPr>
            <w:r>
              <w:rPr>
                <w:rFonts w:hint="eastAsia" w:ascii="宋体" w:hAnsi="宋体"/>
                <w:color w:val="000000"/>
                <w:sz w:val="20"/>
                <w:szCs w:val="20"/>
                <w:lang w:eastAsia="zh-Hans"/>
              </w:rPr>
              <w:t>支持信息下钻，点击通报、预警信息，可以查看对应详情，如通报标题、创建时间等。</w:t>
            </w:r>
          </w:p>
        </w:tc>
      </w:tr>
      <w:tr w14:paraId="3D3C544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4A2A52CF">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D00BBB8">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27F1F6AB">
            <w:pPr>
              <w:rPr>
                <w:rFonts w:ascii="宋体" w:hAnsi="宋体"/>
                <w:color w:val="000000"/>
                <w:sz w:val="20"/>
                <w:szCs w:val="20"/>
                <w:lang w:eastAsia="zh-Hans"/>
              </w:rPr>
            </w:pPr>
            <w:r>
              <w:rPr>
                <w:rFonts w:hint="eastAsia" w:ascii="宋体" w:hAnsi="宋体"/>
                <w:color w:val="000000"/>
                <w:sz w:val="20"/>
                <w:szCs w:val="20"/>
                <w:lang w:eastAsia="zh-Hans"/>
              </w:rPr>
              <w:t>支持汇总展示当前用户收到的通报总数，并根据通报的状态进行分类展示。</w:t>
            </w:r>
          </w:p>
        </w:tc>
      </w:tr>
      <w:tr w14:paraId="7436BEE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66ABE901">
            <w:pPr>
              <w:rPr>
                <w:rFonts w:ascii="宋体" w:hAnsi="宋体"/>
                <w:color w:val="000000"/>
                <w:sz w:val="20"/>
                <w:szCs w:val="20"/>
                <w:lang w:eastAsia="zh-Hans"/>
              </w:rPr>
            </w:pPr>
          </w:p>
        </w:tc>
        <w:tc>
          <w:tcPr>
            <w:tcW w:w="771" w:type="pct"/>
            <w:vMerge w:val="continue"/>
            <w:tcBorders>
              <w:left w:val="single" w:color="auto" w:sz="6" w:space="0"/>
              <w:bottom w:val="single" w:color="auto" w:sz="6" w:space="0"/>
              <w:right w:val="single" w:color="auto" w:sz="6" w:space="0"/>
            </w:tcBorders>
            <w:tcMar>
              <w:top w:w="75" w:type="dxa"/>
              <w:left w:w="75" w:type="dxa"/>
              <w:bottom w:w="75" w:type="dxa"/>
              <w:right w:w="75" w:type="dxa"/>
            </w:tcMar>
            <w:vAlign w:val="center"/>
          </w:tcPr>
          <w:p w14:paraId="605F2937">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F62402E">
            <w:pPr>
              <w:rPr>
                <w:rFonts w:ascii="宋体" w:hAnsi="宋体"/>
                <w:color w:val="000000"/>
                <w:sz w:val="20"/>
                <w:szCs w:val="20"/>
                <w:lang w:eastAsia="zh-Hans"/>
              </w:rPr>
            </w:pPr>
            <w:r>
              <w:rPr>
                <w:rFonts w:hint="eastAsia" w:ascii="宋体" w:hAnsi="宋体"/>
                <w:color w:val="000000"/>
                <w:sz w:val="20"/>
                <w:szCs w:val="20"/>
                <w:lang w:eastAsia="zh-Hans"/>
              </w:rPr>
              <w:t>支持汇总展示当前用户收到的预警通知数量，并根据未读、已读进行展示。</w:t>
            </w:r>
          </w:p>
        </w:tc>
      </w:tr>
      <w:tr w14:paraId="5145F74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093A557C">
            <w:pPr>
              <w:rPr>
                <w:rFonts w:ascii="宋体" w:hAnsi="宋体"/>
                <w:color w:val="000000"/>
                <w:sz w:val="20"/>
                <w:szCs w:val="20"/>
                <w:lang w:eastAsia="zh-Hans"/>
              </w:rPr>
            </w:pPr>
          </w:p>
        </w:tc>
        <w:tc>
          <w:tcPr>
            <w:tcW w:w="771"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24F51D55">
            <w:pPr>
              <w:rPr>
                <w:rFonts w:ascii="宋体" w:hAnsi="宋体"/>
                <w:color w:val="000000"/>
                <w:sz w:val="20"/>
                <w:szCs w:val="20"/>
                <w:lang w:eastAsia="zh-Hans"/>
              </w:rPr>
            </w:pPr>
            <w:r>
              <w:rPr>
                <w:rFonts w:hint="eastAsia" w:ascii="宋体" w:hAnsi="宋体"/>
                <w:color w:val="000000"/>
                <w:sz w:val="20"/>
                <w:szCs w:val="20"/>
                <w:lang w:eastAsia="zh-Hans"/>
              </w:rPr>
              <w:t>通报总览</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F8ADA70">
            <w:pPr>
              <w:rPr>
                <w:rFonts w:ascii="宋体" w:hAnsi="宋体"/>
                <w:color w:val="000000"/>
                <w:sz w:val="20"/>
                <w:szCs w:val="20"/>
                <w:lang w:eastAsia="zh-Hans"/>
              </w:rPr>
            </w:pPr>
            <w:r>
              <w:rPr>
                <w:rFonts w:hint="eastAsia" w:ascii="宋体" w:hAnsi="宋体"/>
                <w:color w:val="000000"/>
                <w:sz w:val="20"/>
                <w:szCs w:val="20"/>
                <w:lang w:eastAsia="zh-Hans"/>
              </w:rPr>
              <w:t>支持根据时间、区域筛选通报、预警展示数据。</w:t>
            </w:r>
          </w:p>
        </w:tc>
      </w:tr>
      <w:tr w14:paraId="2875FEB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6B65A0AB">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2DEEA854">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4431598">
            <w:pPr>
              <w:rPr>
                <w:rFonts w:ascii="宋体" w:hAnsi="宋体"/>
                <w:color w:val="000000"/>
                <w:sz w:val="20"/>
                <w:szCs w:val="20"/>
                <w:lang w:eastAsia="zh-Hans"/>
              </w:rPr>
            </w:pPr>
            <w:r>
              <w:rPr>
                <w:rFonts w:hint="eastAsia" w:ascii="宋体" w:hAnsi="宋体"/>
                <w:color w:val="000000"/>
                <w:sz w:val="20"/>
                <w:szCs w:val="20"/>
                <w:lang w:eastAsia="zh-Hans"/>
              </w:rPr>
              <w:t>支持对最新通报、收藏通报的跟踪展示。</w:t>
            </w:r>
          </w:p>
        </w:tc>
      </w:tr>
      <w:tr w14:paraId="0E174E3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1CFED9A2">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6A58ED11">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4A1A3FF">
            <w:pPr>
              <w:rPr>
                <w:rFonts w:ascii="宋体" w:hAnsi="宋体"/>
                <w:color w:val="000000"/>
                <w:sz w:val="20"/>
                <w:szCs w:val="20"/>
                <w:lang w:eastAsia="zh-Hans"/>
              </w:rPr>
            </w:pPr>
            <w:r>
              <w:rPr>
                <w:rFonts w:hint="eastAsia" w:ascii="宋体" w:hAnsi="宋体"/>
                <w:color w:val="000000"/>
                <w:sz w:val="20"/>
                <w:szCs w:val="20"/>
                <w:lang w:eastAsia="zh-Hans"/>
              </w:rPr>
              <w:t>支持根据通报紧急程度进行统计展示。</w:t>
            </w:r>
          </w:p>
        </w:tc>
      </w:tr>
      <w:tr w14:paraId="6B818E9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44BE4219">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4121A5AB">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7E6D265">
            <w:pPr>
              <w:rPr>
                <w:rFonts w:ascii="宋体" w:hAnsi="宋体"/>
                <w:color w:val="000000"/>
                <w:sz w:val="20"/>
                <w:szCs w:val="20"/>
                <w:lang w:eastAsia="zh-Hans"/>
              </w:rPr>
            </w:pPr>
            <w:r>
              <w:rPr>
                <w:rFonts w:hint="eastAsia" w:ascii="宋体" w:hAnsi="宋体"/>
                <w:color w:val="000000"/>
                <w:sz w:val="20"/>
                <w:szCs w:val="20"/>
                <w:lang w:eastAsia="zh-Hans"/>
              </w:rPr>
              <w:t>支持根据预警通知的自定义标签进行统计展示。</w:t>
            </w:r>
          </w:p>
        </w:tc>
      </w:tr>
      <w:tr w14:paraId="0B56F52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6E3E0979">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19CE4164">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E207848">
            <w:pPr>
              <w:rPr>
                <w:rFonts w:ascii="宋体" w:hAnsi="宋体"/>
                <w:color w:val="000000"/>
                <w:sz w:val="20"/>
                <w:szCs w:val="20"/>
                <w:lang w:eastAsia="zh-Hans"/>
              </w:rPr>
            </w:pPr>
            <w:r>
              <w:rPr>
                <w:rFonts w:hint="eastAsia" w:ascii="宋体" w:hAnsi="宋体"/>
                <w:color w:val="000000"/>
                <w:sz w:val="20"/>
                <w:szCs w:val="20"/>
                <w:lang w:eastAsia="zh-Hans"/>
              </w:rPr>
              <w:t>支持根据通报的行业和单位进行排名统计。</w:t>
            </w:r>
          </w:p>
        </w:tc>
      </w:tr>
      <w:tr w14:paraId="495F31C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bottom w:val="single" w:color="auto" w:sz="6" w:space="0"/>
              <w:right w:val="single" w:color="auto" w:sz="6" w:space="0"/>
            </w:tcBorders>
            <w:vAlign w:val="center"/>
          </w:tcPr>
          <w:p w14:paraId="1A035A58">
            <w:pPr>
              <w:rPr>
                <w:rFonts w:ascii="宋体" w:hAnsi="宋体"/>
                <w:color w:val="000000"/>
                <w:sz w:val="20"/>
                <w:szCs w:val="20"/>
                <w:lang w:eastAsia="zh-Hans"/>
              </w:rPr>
            </w:pPr>
          </w:p>
        </w:tc>
        <w:tc>
          <w:tcPr>
            <w:tcW w:w="771" w:type="pct"/>
            <w:vMerge w:val="continue"/>
            <w:tcBorders>
              <w:left w:val="single" w:color="auto" w:sz="6" w:space="0"/>
              <w:bottom w:val="single" w:color="auto" w:sz="6" w:space="0"/>
              <w:right w:val="single" w:color="auto" w:sz="6" w:space="0"/>
            </w:tcBorders>
            <w:tcMar>
              <w:top w:w="75" w:type="dxa"/>
              <w:left w:w="75" w:type="dxa"/>
              <w:bottom w:w="75" w:type="dxa"/>
              <w:right w:w="75" w:type="dxa"/>
            </w:tcMar>
            <w:vAlign w:val="center"/>
          </w:tcPr>
          <w:p w14:paraId="2A356741">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7D675A19">
            <w:pPr>
              <w:rPr>
                <w:rFonts w:ascii="宋体" w:hAnsi="宋体"/>
                <w:color w:val="000000"/>
                <w:sz w:val="20"/>
                <w:szCs w:val="20"/>
              </w:rPr>
            </w:pPr>
            <w:r>
              <w:rPr>
                <w:rFonts w:hint="eastAsia" w:ascii="宋体" w:hAnsi="宋体"/>
                <w:color w:val="000000"/>
                <w:sz w:val="20"/>
                <w:szCs w:val="20"/>
                <w:lang w:eastAsia="zh-Hans"/>
              </w:rPr>
              <w:t>支持展示各个区域的通报情况，包括处置及时率、完结率、总量、逾期量，并以图表方式展示。</w:t>
            </w:r>
          </w:p>
        </w:tc>
      </w:tr>
      <w:tr w14:paraId="40AED8F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77EBF4B6">
            <w:pPr>
              <w:rPr>
                <w:rFonts w:ascii="宋体" w:hAnsi="宋体"/>
                <w:color w:val="000000"/>
                <w:sz w:val="20"/>
                <w:szCs w:val="20"/>
                <w:lang w:eastAsia="zh-Hans"/>
              </w:rPr>
            </w:pPr>
            <w:r>
              <w:rPr>
                <w:rFonts w:hint="eastAsia" w:ascii="宋体" w:hAnsi="宋体"/>
                <w:color w:val="000000"/>
                <w:sz w:val="20"/>
                <w:szCs w:val="20"/>
                <w:lang w:eastAsia="zh-Hans"/>
              </w:rPr>
              <w:t>预警中心</w:t>
            </w:r>
          </w:p>
        </w:tc>
        <w:tc>
          <w:tcPr>
            <w:tcW w:w="771"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54CDBFF">
            <w:pPr>
              <w:rPr>
                <w:rFonts w:ascii="宋体" w:hAnsi="宋体"/>
                <w:color w:val="000000"/>
                <w:sz w:val="20"/>
                <w:szCs w:val="20"/>
                <w:lang w:eastAsia="zh-Hans"/>
              </w:rPr>
            </w:pPr>
            <w:r>
              <w:rPr>
                <w:rFonts w:hint="eastAsia" w:ascii="宋体" w:hAnsi="宋体"/>
                <w:color w:val="000000"/>
                <w:sz w:val="20"/>
                <w:szCs w:val="20"/>
                <w:lang w:eastAsia="zh-Hans"/>
              </w:rPr>
              <w:t>总体描述</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62CC1A2">
            <w:pPr>
              <w:rPr>
                <w:rFonts w:ascii="宋体" w:hAnsi="宋体"/>
                <w:color w:val="000000"/>
                <w:sz w:val="20"/>
                <w:szCs w:val="20"/>
                <w:lang w:eastAsia="zh-Hans"/>
              </w:rPr>
            </w:pPr>
            <w:r>
              <w:rPr>
                <w:rFonts w:hint="eastAsia" w:ascii="宋体" w:hAnsi="宋体"/>
                <w:color w:val="000000"/>
                <w:sz w:val="20"/>
                <w:szCs w:val="20"/>
                <w:lang w:eastAsia="zh-Hans"/>
              </w:rPr>
              <w:t>支持对网络安全事件或威胁发出通知或者预警，警示相关单位。</w:t>
            </w:r>
          </w:p>
        </w:tc>
      </w:tr>
      <w:tr w14:paraId="7CE8DD3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2EDC3779">
            <w:pPr>
              <w:rPr>
                <w:rFonts w:ascii="宋体" w:hAnsi="宋体"/>
                <w:color w:val="000000"/>
                <w:sz w:val="20"/>
                <w:szCs w:val="20"/>
                <w:lang w:eastAsia="zh-Hans"/>
              </w:rPr>
            </w:pPr>
          </w:p>
        </w:tc>
        <w:tc>
          <w:tcPr>
            <w:tcW w:w="771"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57CC7FEE">
            <w:pPr>
              <w:rPr>
                <w:rFonts w:ascii="宋体" w:hAnsi="宋体"/>
                <w:color w:val="000000"/>
                <w:sz w:val="20"/>
                <w:szCs w:val="20"/>
                <w:lang w:eastAsia="zh-Hans"/>
              </w:rPr>
            </w:pPr>
            <w:r>
              <w:rPr>
                <w:rFonts w:hint="eastAsia" w:ascii="宋体" w:hAnsi="宋体"/>
                <w:color w:val="000000"/>
                <w:sz w:val="20"/>
                <w:szCs w:val="20"/>
                <w:lang w:eastAsia="zh-Hans"/>
              </w:rPr>
              <w:t>通知管理</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F08F172">
            <w:pPr>
              <w:rPr>
                <w:rFonts w:ascii="Segoe UI" w:hAnsi="Segoe UI" w:cs="Segoe UI"/>
                <w:color w:val="000000"/>
                <w:szCs w:val="21"/>
              </w:rPr>
            </w:pPr>
            <w:r>
              <w:rPr>
                <w:rFonts w:hint="eastAsia" w:ascii="宋体" w:hAnsi="宋体"/>
                <w:color w:val="000000"/>
                <w:sz w:val="20"/>
                <w:szCs w:val="20"/>
                <w:lang w:eastAsia="zh-Hans"/>
              </w:rPr>
              <w:t>通知中支持记录通知名称、标签、级别、详情、通知对象和举证信息。</w:t>
            </w:r>
          </w:p>
        </w:tc>
      </w:tr>
      <w:tr w14:paraId="370F150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6CB7CAC6">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0C41AE03">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2F5956E9">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通知支持草稿箱功能，发布的无效通知支持关闭和删除。</w:t>
            </w:r>
          </w:p>
        </w:tc>
      </w:tr>
      <w:tr w14:paraId="4032768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7F70DD75">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0182981B">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599D8144">
            <w:pPr>
              <w:shd w:val="clear" w:color="auto" w:fill="FFFFFF"/>
              <w:spacing w:before="150"/>
              <w:rPr>
                <w:rFonts w:ascii="宋体" w:hAnsi="宋体"/>
                <w:color w:val="000000"/>
                <w:sz w:val="20"/>
                <w:szCs w:val="20"/>
              </w:rPr>
            </w:pPr>
            <w:r>
              <w:rPr>
                <w:rFonts w:hint="eastAsia" w:ascii="宋体" w:hAnsi="宋体"/>
                <w:color w:val="000000"/>
                <w:sz w:val="20"/>
                <w:szCs w:val="20"/>
                <w:lang w:eastAsia="zh-Hans"/>
              </w:rPr>
              <w:t>新增通知可以输入文字、图片、超链接、表格、代码片段等≥种信息类型，其中文字支持设定字体大小、文字颜色，文字高亮、加粗、倾斜等&gt;=5种配置。</w:t>
            </w:r>
          </w:p>
        </w:tc>
      </w:tr>
      <w:tr w14:paraId="7BD301D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19BC8DF8">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06BAE200">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157C75AA">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发布通知</w:t>
            </w:r>
            <w:r>
              <w:rPr>
                <w:rFonts w:ascii="宋体" w:hAnsi="宋体"/>
                <w:color w:val="000000"/>
                <w:sz w:val="20"/>
                <w:szCs w:val="20"/>
                <w:lang w:eastAsia="zh-Hans"/>
              </w:rPr>
              <w:t>/</w:t>
            </w:r>
            <w:r>
              <w:rPr>
                <w:rFonts w:hint="eastAsia" w:ascii="宋体" w:hAnsi="宋体"/>
                <w:color w:val="000000"/>
                <w:sz w:val="20"/>
                <w:szCs w:val="20"/>
                <w:lang w:eastAsia="zh-Hans"/>
              </w:rPr>
              <w:t>预警时，支持已读回执，通知下发后对各单位的已读情况进行查看。</w:t>
            </w:r>
          </w:p>
        </w:tc>
      </w:tr>
      <w:tr w14:paraId="4853A42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687E61F8">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97CD9F2">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111F1FD0">
            <w:pPr>
              <w:shd w:val="clear" w:color="auto" w:fill="FFFFFF"/>
              <w:spacing w:before="150"/>
              <w:rPr>
                <w:rFonts w:ascii="宋体" w:hAnsi="宋体"/>
                <w:color w:val="000000"/>
                <w:sz w:val="20"/>
                <w:szCs w:val="20"/>
              </w:rPr>
            </w:pPr>
            <w:r>
              <w:rPr>
                <w:rFonts w:hint="eastAsia" w:ascii="宋体" w:hAnsi="宋体"/>
                <w:color w:val="000000"/>
                <w:sz w:val="20"/>
                <w:szCs w:val="20"/>
                <w:lang w:eastAsia="zh-Hans"/>
              </w:rPr>
              <w:t>通知举证信息支持一键溯源，包括溯源到资产档案、系统档案、情报信息、原始日志等。</w:t>
            </w:r>
          </w:p>
        </w:tc>
      </w:tr>
      <w:tr w14:paraId="0DEF55A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4603BB74">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7B23CB5">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EA15D02">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通知举证信息支持一键溯源，包括溯源到资产档案、系统档案、情报信息、原始日志等；</w:t>
            </w:r>
          </w:p>
        </w:tc>
      </w:tr>
      <w:tr w14:paraId="51A14FF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327C69E9">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5714107F">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6D04E31">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支持通知钉钉群消息功能，并可以@到用户；</w:t>
            </w:r>
          </w:p>
        </w:tc>
      </w:tr>
      <w:tr w14:paraId="3FE2764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7FB4B25C">
            <w:pPr>
              <w:rPr>
                <w:rFonts w:ascii="宋体" w:hAnsi="宋体"/>
                <w:color w:val="000000"/>
                <w:sz w:val="20"/>
                <w:szCs w:val="20"/>
                <w:lang w:eastAsia="zh-Hans"/>
              </w:rPr>
            </w:pPr>
          </w:p>
        </w:tc>
        <w:tc>
          <w:tcPr>
            <w:tcW w:w="771" w:type="pct"/>
            <w:vMerge w:val="continue"/>
            <w:tcBorders>
              <w:left w:val="single" w:color="auto" w:sz="6" w:space="0"/>
              <w:bottom w:val="single" w:color="auto" w:sz="6" w:space="0"/>
              <w:right w:val="single" w:color="auto" w:sz="6" w:space="0"/>
            </w:tcBorders>
            <w:tcMar>
              <w:top w:w="75" w:type="dxa"/>
              <w:left w:w="75" w:type="dxa"/>
              <w:bottom w:w="75" w:type="dxa"/>
              <w:right w:w="75" w:type="dxa"/>
            </w:tcMar>
            <w:vAlign w:val="center"/>
          </w:tcPr>
          <w:p w14:paraId="53C55660">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40208BC7">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发布通知时，支持选择是否需要回复，如果选择需要回复，各个单位可以在收到通知后进行回复。</w:t>
            </w:r>
          </w:p>
        </w:tc>
      </w:tr>
      <w:tr w14:paraId="44ED5A4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20A9A6A1">
            <w:pPr>
              <w:rPr>
                <w:rFonts w:ascii="宋体" w:hAnsi="宋体"/>
                <w:color w:val="000000"/>
                <w:sz w:val="20"/>
                <w:szCs w:val="20"/>
                <w:lang w:eastAsia="zh-Hans"/>
              </w:rPr>
            </w:pPr>
          </w:p>
        </w:tc>
        <w:tc>
          <w:tcPr>
            <w:tcW w:w="771"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17D004ED">
            <w:pPr>
              <w:rPr>
                <w:rFonts w:ascii="宋体" w:hAnsi="宋体"/>
                <w:color w:val="000000"/>
                <w:sz w:val="20"/>
                <w:szCs w:val="20"/>
                <w:lang w:eastAsia="zh-Hans"/>
              </w:rPr>
            </w:pPr>
            <w:r>
              <w:rPr>
                <w:rFonts w:hint="eastAsia" w:ascii="宋体" w:hAnsi="宋体"/>
                <w:color w:val="000000"/>
                <w:sz w:val="20"/>
                <w:szCs w:val="20"/>
                <w:lang w:eastAsia="zh-Hans"/>
              </w:rPr>
              <w:t>预警管理</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3F30799">
            <w:pPr>
              <w:rPr>
                <w:rFonts w:ascii="宋体" w:hAnsi="宋体"/>
                <w:color w:val="000000"/>
                <w:sz w:val="20"/>
                <w:szCs w:val="20"/>
                <w:lang w:eastAsia="zh-Hans"/>
              </w:rPr>
            </w:pPr>
            <w:r>
              <w:rPr>
                <w:rFonts w:hint="eastAsia" w:ascii="宋体" w:hAnsi="宋体"/>
                <w:color w:val="000000"/>
                <w:sz w:val="20"/>
                <w:szCs w:val="20"/>
                <w:lang w:eastAsia="zh-Hans"/>
              </w:rPr>
              <w:t>预警中支持记录预警名称、标签、级别、详情、预警对象和举证信息。</w:t>
            </w:r>
          </w:p>
        </w:tc>
      </w:tr>
      <w:tr w14:paraId="471F859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Height w:val="71" w:hRule="atLeast"/>
        </w:trPr>
        <w:tc>
          <w:tcPr>
            <w:tcW w:w="569" w:type="pct"/>
            <w:vMerge w:val="continue"/>
            <w:tcBorders>
              <w:left w:val="single" w:color="auto" w:sz="6" w:space="0"/>
              <w:right w:val="single" w:color="auto" w:sz="6" w:space="0"/>
            </w:tcBorders>
            <w:vAlign w:val="center"/>
          </w:tcPr>
          <w:p w14:paraId="7FF84598">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04B38512">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74D31417">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预警支持草稿箱功能，发布的无效预警支持关闭和删除。</w:t>
            </w:r>
          </w:p>
        </w:tc>
      </w:tr>
      <w:tr w14:paraId="0814D05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Height w:val="577" w:hRule="atLeast"/>
        </w:trPr>
        <w:tc>
          <w:tcPr>
            <w:tcW w:w="569" w:type="pct"/>
            <w:vMerge w:val="continue"/>
            <w:tcBorders>
              <w:left w:val="single" w:color="auto" w:sz="6" w:space="0"/>
              <w:right w:val="single" w:color="auto" w:sz="6" w:space="0"/>
            </w:tcBorders>
            <w:vAlign w:val="center"/>
          </w:tcPr>
          <w:p w14:paraId="757EDD85">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44A850D">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8269FEF">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预警详情可以输入文字、图片、超链接、表格、代码片段等</w:t>
            </w:r>
            <w:r>
              <w:rPr>
                <w:rFonts w:hint="eastAsia" w:ascii="宋体" w:hAnsi="宋体"/>
                <w:color w:val="000000"/>
                <w:sz w:val="20"/>
                <w:szCs w:val="20"/>
              </w:rPr>
              <w:t>≥</w:t>
            </w:r>
            <w:r>
              <w:rPr>
                <w:rFonts w:hint="eastAsia" w:ascii="宋体" w:hAnsi="宋体"/>
                <w:color w:val="000000"/>
                <w:sz w:val="20"/>
                <w:szCs w:val="20"/>
                <w:lang w:eastAsia="zh-Hans"/>
              </w:rPr>
              <w:t>5种信息类型，其中文字支持设定字体大小、文字颜色，文字高亮、加粗、倾斜等</w:t>
            </w:r>
            <w:r>
              <w:rPr>
                <w:rFonts w:hint="eastAsia" w:ascii="宋体" w:hAnsi="宋体"/>
                <w:color w:val="000000"/>
                <w:sz w:val="20"/>
                <w:szCs w:val="20"/>
              </w:rPr>
              <w:t>≥</w:t>
            </w:r>
            <w:r>
              <w:rPr>
                <w:rFonts w:hint="eastAsia" w:ascii="宋体" w:hAnsi="宋体"/>
                <w:color w:val="000000"/>
                <w:sz w:val="20"/>
                <w:szCs w:val="20"/>
                <w:lang w:eastAsia="zh-Hans"/>
              </w:rPr>
              <w:t>5种配置。</w:t>
            </w:r>
          </w:p>
        </w:tc>
      </w:tr>
      <w:tr w14:paraId="312BF4C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54C82072">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6B46146E">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A6B5DE7">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发布预警时，支持已读回执，预警下发后对各单位的已读情况进行查看。</w:t>
            </w:r>
          </w:p>
        </w:tc>
      </w:tr>
      <w:tr w14:paraId="315B99E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49590DD1">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C561441">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D61B14B">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预警举证信息支持一键溯源，包括溯源到资产档案、系统档案、情报信息、原始日志等</w:t>
            </w:r>
          </w:p>
        </w:tc>
      </w:tr>
      <w:tr w14:paraId="71A2612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389F9222">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5E4FCB8C">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0C47612">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预警举证信息支持一键溯源，包括溯源到资产档案、系统档案、情报信息、原始日志等；</w:t>
            </w:r>
          </w:p>
        </w:tc>
      </w:tr>
      <w:tr w14:paraId="59BD358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6546E3B1">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3E9D01EA">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54FDF048">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支持预警钉钉群消息功能，并可以@到用户；</w:t>
            </w:r>
          </w:p>
        </w:tc>
      </w:tr>
      <w:tr w14:paraId="4B2B44B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bottom w:val="single" w:color="auto" w:sz="6" w:space="0"/>
              <w:right w:val="single" w:color="auto" w:sz="6" w:space="0"/>
            </w:tcBorders>
            <w:vAlign w:val="center"/>
          </w:tcPr>
          <w:p w14:paraId="614BBB6C">
            <w:pPr>
              <w:rPr>
                <w:rFonts w:ascii="宋体" w:hAnsi="宋体"/>
                <w:color w:val="000000"/>
                <w:sz w:val="20"/>
                <w:szCs w:val="20"/>
                <w:lang w:eastAsia="zh-Hans"/>
              </w:rPr>
            </w:pPr>
          </w:p>
        </w:tc>
        <w:tc>
          <w:tcPr>
            <w:tcW w:w="771" w:type="pct"/>
            <w:vMerge w:val="continue"/>
            <w:tcBorders>
              <w:left w:val="single" w:color="auto" w:sz="6" w:space="0"/>
              <w:bottom w:val="single" w:color="auto" w:sz="6" w:space="0"/>
              <w:right w:val="single" w:color="auto" w:sz="6" w:space="0"/>
            </w:tcBorders>
            <w:tcMar>
              <w:top w:w="75" w:type="dxa"/>
              <w:left w:w="75" w:type="dxa"/>
              <w:bottom w:w="75" w:type="dxa"/>
              <w:right w:w="75" w:type="dxa"/>
            </w:tcMar>
            <w:vAlign w:val="center"/>
          </w:tcPr>
          <w:p w14:paraId="28E6C853">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2793B5F8">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发布预警时，支持选择是否需要回复，如果选择需要回复，各个单位可以在收到预警后进行回复。</w:t>
            </w:r>
          </w:p>
        </w:tc>
      </w:tr>
      <w:tr w14:paraId="0984B75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276EFF2B">
            <w:pPr>
              <w:rPr>
                <w:rFonts w:ascii="宋体" w:hAnsi="宋体"/>
                <w:color w:val="000000"/>
                <w:sz w:val="20"/>
                <w:szCs w:val="20"/>
                <w:lang w:eastAsia="zh-Hans"/>
              </w:rPr>
            </w:pPr>
            <w:r>
              <w:rPr>
                <w:rFonts w:hint="eastAsia" w:ascii="宋体" w:hAnsi="宋体"/>
                <w:color w:val="000000"/>
                <w:sz w:val="20"/>
                <w:szCs w:val="20"/>
                <w:lang w:eastAsia="zh-Hans"/>
              </w:rPr>
              <w:t>通报</w:t>
            </w:r>
          </w:p>
          <w:p w14:paraId="6C0B5F33">
            <w:pPr>
              <w:rPr>
                <w:rFonts w:ascii="宋体" w:hAnsi="宋体"/>
                <w:color w:val="000000"/>
                <w:sz w:val="20"/>
                <w:szCs w:val="20"/>
                <w:lang w:eastAsia="zh-Hans"/>
              </w:rPr>
            </w:pPr>
            <w:r>
              <w:rPr>
                <w:rFonts w:hint="eastAsia" w:ascii="宋体" w:hAnsi="宋体"/>
                <w:color w:val="000000"/>
                <w:sz w:val="20"/>
                <w:szCs w:val="20"/>
                <w:lang w:eastAsia="zh-Hans"/>
              </w:rPr>
              <w:t>中心</w:t>
            </w:r>
          </w:p>
        </w:tc>
        <w:tc>
          <w:tcPr>
            <w:tcW w:w="771"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5FCCBE4C">
            <w:pPr>
              <w:rPr>
                <w:rFonts w:ascii="宋体" w:hAnsi="宋体"/>
                <w:color w:val="000000"/>
                <w:sz w:val="20"/>
                <w:szCs w:val="20"/>
                <w:lang w:eastAsia="zh-Hans"/>
              </w:rPr>
            </w:pPr>
            <w:r>
              <w:rPr>
                <w:rFonts w:hint="eastAsia" w:ascii="宋体" w:hAnsi="宋体"/>
                <w:color w:val="000000"/>
                <w:sz w:val="20"/>
                <w:szCs w:val="20"/>
                <w:lang w:eastAsia="zh-Hans"/>
              </w:rPr>
              <w:t>总体描述</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8F6AD9D">
            <w:pPr>
              <w:rPr>
                <w:rFonts w:ascii="宋体" w:hAnsi="宋体"/>
                <w:color w:val="000000"/>
                <w:sz w:val="20"/>
                <w:szCs w:val="20"/>
                <w:lang w:eastAsia="zh-Hans"/>
              </w:rPr>
            </w:pPr>
            <w:r>
              <w:rPr>
                <w:rFonts w:hint="eastAsia" w:ascii="宋体" w:hAnsi="宋体"/>
                <w:color w:val="000000"/>
                <w:sz w:val="20"/>
                <w:szCs w:val="20"/>
                <w:lang w:eastAsia="zh-Hans"/>
              </w:rPr>
              <w:t>支持根据安全事件或风险隐患发布通报，督促相关单位妥善处置网络安全事件。</w:t>
            </w:r>
          </w:p>
        </w:tc>
      </w:tr>
      <w:tr w14:paraId="2B4C721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206CB0FC">
            <w:pPr>
              <w:rPr>
                <w:rFonts w:ascii="宋体" w:hAnsi="宋体"/>
                <w:color w:val="000000"/>
                <w:sz w:val="20"/>
                <w:szCs w:val="20"/>
                <w:lang w:eastAsia="zh-Hans"/>
              </w:rPr>
            </w:pPr>
          </w:p>
        </w:tc>
        <w:tc>
          <w:tcPr>
            <w:tcW w:w="771" w:type="pct"/>
            <w:vMerge w:val="restart"/>
            <w:tcBorders>
              <w:top w:val="single" w:color="auto" w:sz="6" w:space="0"/>
              <w:left w:val="single" w:color="auto" w:sz="6" w:space="0"/>
              <w:right w:val="single" w:color="auto" w:sz="6" w:space="0"/>
            </w:tcBorders>
            <w:tcMar>
              <w:top w:w="75" w:type="dxa"/>
              <w:left w:w="75" w:type="dxa"/>
              <w:bottom w:w="75" w:type="dxa"/>
              <w:right w:w="75" w:type="dxa"/>
            </w:tcMar>
            <w:vAlign w:val="center"/>
          </w:tcPr>
          <w:p w14:paraId="0E78655E">
            <w:pPr>
              <w:rPr>
                <w:rFonts w:ascii="宋体" w:hAnsi="宋体"/>
                <w:color w:val="000000"/>
                <w:sz w:val="20"/>
                <w:szCs w:val="20"/>
                <w:lang w:eastAsia="zh-Hans"/>
              </w:rPr>
            </w:pPr>
            <w:r>
              <w:rPr>
                <w:rFonts w:hint="eastAsia" w:ascii="宋体" w:hAnsi="宋体"/>
                <w:color w:val="000000"/>
                <w:sz w:val="20"/>
                <w:szCs w:val="20"/>
                <w:lang w:eastAsia="zh-Hans"/>
              </w:rPr>
              <w:t>通报管理</w:t>
            </w: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5C140EDB">
            <w:pPr>
              <w:rPr>
                <w:rFonts w:ascii="宋体" w:hAnsi="宋体"/>
                <w:color w:val="000000"/>
                <w:sz w:val="20"/>
                <w:szCs w:val="20"/>
                <w:lang w:eastAsia="zh-Hans"/>
              </w:rPr>
            </w:pPr>
            <w:r>
              <w:rPr>
                <w:rFonts w:hint="eastAsia" w:ascii="宋体" w:hAnsi="宋体"/>
                <w:color w:val="000000"/>
                <w:sz w:val="20"/>
                <w:szCs w:val="20"/>
                <w:lang w:eastAsia="zh-Hans"/>
              </w:rPr>
              <w:t>支持通报流程统计，可根据多维度查询展示通报信息。</w:t>
            </w:r>
          </w:p>
        </w:tc>
      </w:tr>
      <w:tr w14:paraId="0D3E053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2348056E">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2882F44">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68D60D69">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通报正文与备注支持多种内容格式，包括但不限于文字、图片、超链接、表格、代码片段、附件等&gt;=5种信息类型，其中文字支持设定字体大小、文字颜色，文字高亮、加粗、倾斜等&gt;=5种配置。</w:t>
            </w:r>
          </w:p>
        </w:tc>
      </w:tr>
      <w:tr w14:paraId="381BEB6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5E719225">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A3BE464">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6491FE0">
            <w:pPr>
              <w:shd w:val="clear" w:color="auto" w:fill="FFFFFF"/>
              <w:spacing w:before="150"/>
              <w:rPr>
                <w:rFonts w:ascii="宋体" w:hAnsi="宋体"/>
                <w:color w:val="000000"/>
                <w:sz w:val="20"/>
                <w:szCs w:val="20"/>
              </w:rPr>
            </w:pPr>
            <w:r>
              <w:rPr>
                <w:rFonts w:hint="eastAsia" w:ascii="宋体" w:hAnsi="宋体"/>
                <w:color w:val="000000"/>
                <w:sz w:val="20"/>
                <w:szCs w:val="20"/>
                <w:lang w:eastAsia="zh-Hans"/>
              </w:rPr>
              <w:t>通报详情支持显示多类通报相关信息，包括但不限于通报标题、通报标签、所属单位、发起单位、通报完整流程及当前所处流程、通报正文、举证信息、处理记录等。</w:t>
            </w:r>
          </w:p>
        </w:tc>
      </w:tr>
      <w:tr w14:paraId="5D6F0E0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34D4EF60">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6F39A4D7">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1D4B5FF">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支持通过通报下发单位及业务系统的信息补全任务，通报接收单位补全信息返回后支持将已补全的信息直接入库。</w:t>
            </w:r>
          </w:p>
        </w:tc>
      </w:tr>
      <w:tr w14:paraId="3C491FA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30135D8F">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64CC5099">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2F01E66B">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支持通报举证信息一键查询，通报处置人员可以直接定位到通报关联的原始信息进行查看。</w:t>
            </w:r>
          </w:p>
        </w:tc>
      </w:tr>
      <w:tr w14:paraId="51574450">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176F5F67">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4E7A95D1">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4D6B2683">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支持通过事件成果、风险成果携带相关信息辅助生成通报，支持自定义编辑通报信息内容。</w:t>
            </w:r>
          </w:p>
        </w:tc>
      </w:tr>
      <w:tr w14:paraId="2832EA0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0CE7EDB6">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0B972849">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7A8C5489">
            <w:pPr>
              <w:rPr>
                <w:rFonts w:ascii="宋体" w:hAnsi="宋体"/>
                <w:color w:val="000000"/>
                <w:sz w:val="20"/>
                <w:szCs w:val="20"/>
              </w:rPr>
            </w:pPr>
            <w:r>
              <w:rPr>
                <w:rFonts w:hint="eastAsia" w:ascii="宋体" w:hAnsi="宋体"/>
                <w:color w:val="000000"/>
                <w:sz w:val="20"/>
                <w:szCs w:val="20"/>
                <w:lang w:eastAsia="zh-Hans"/>
              </w:rPr>
              <w:t>支持通报流程可配置，各流程的对应的处置单位可自动生成，并支持自定义调整。</w:t>
            </w:r>
          </w:p>
        </w:tc>
      </w:tr>
      <w:tr w14:paraId="543EEDC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619088A4">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71401998">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6E1154E">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通报除处置类操作外，支持催办、抄送、备注等额外操作。</w:t>
            </w:r>
          </w:p>
        </w:tc>
      </w:tr>
      <w:tr w14:paraId="10D030F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11A9D080">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6EF9FE4D">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76810B01">
            <w:pPr>
              <w:shd w:val="clear" w:color="auto" w:fill="FFFFFF"/>
              <w:spacing w:before="150"/>
              <w:rPr>
                <w:rFonts w:ascii="宋体" w:hAnsi="宋体"/>
                <w:color w:val="000000"/>
                <w:sz w:val="20"/>
                <w:szCs w:val="20"/>
              </w:rPr>
            </w:pPr>
            <w:r>
              <w:rPr>
                <w:rFonts w:hint="eastAsia" w:ascii="宋体" w:hAnsi="宋体"/>
                <w:color w:val="000000"/>
                <w:sz w:val="20"/>
                <w:szCs w:val="20"/>
                <w:lang w:eastAsia="zh-Hans"/>
              </w:rPr>
              <w:t>通报支持进行超时设置，针对截止时间一天内的通报进行截止时间醒目提醒；针对已超时的通报进行超时显示，并显示具体超时时间。</w:t>
            </w:r>
          </w:p>
        </w:tc>
      </w:tr>
      <w:tr w14:paraId="1BF7F19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2AD9FC4D">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18675E56">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090CED33">
            <w:pPr>
              <w:shd w:val="clear" w:color="auto" w:fill="FFFFFF"/>
              <w:spacing w:before="150"/>
              <w:rPr>
                <w:rFonts w:ascii="宋体" w:hAnsi="宋体"/>
                <w:color w:val="000000"/>
                <w:sz w:val="20"/>
                <w:szCs w:val="20"/>
                <w:lang w:eastAsia="zh-Hans"/>
              </w:rPr>
            </w:pPr>
            <w:r>
              <w:rPr>
                <w:rFonts w:hint="eastAsia" w:ascii="宋体" w:hAnsi="宋体"/>
                <w:color w:val="000000"/>
                <w:sz w:val="20"/>
                <w:szCs w:val="20"/>
                <w:lang w:eastAsia="zh-Hans"/>
              </w:rPr>
              <w:t>支持通报新增页面对字段的规范解读。</w:t>
            </w:r>
          </w:p>
        </w:tc>
      </w:tr>
      <w:tr w14:paraId="5C06A76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2551A0B0">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3C31E1C8">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34E5153">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支持多人同权审批功能，包括处理和查看通报数据；</w:t>
            </w:r>
          </w:p>
        </w:tc>
      </w:tr>
      <w:tr w14:paraId="7636937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082716C0">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2C7AA066">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69A3AF7">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支持通报处置环节，附件上传功能拓展配置，可上传模板和明确上传附件；</w:t>
            </w:r>
          </w:p>
        </w:tc>
      </w:tr>
      <w:tr w14:paraId="1B35AF7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2E04FA8A">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37C4B8B8">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1772BEDE">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支持通报处置环节处置下发功能根据单位配置，控制通报流程拓展；</w:t>
            </w:r>
          </w:p>
        </w:tc>
      </w:tr>
      <w:tr w14:paraId="09C8BB6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4F1306BD">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28E9841E">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41903E02">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支持通报钉钉群消息功能，并可以@到用户；</w:t>
            </w:r>
          </w:p>
        </w:tc>
      </w:tr>
      <w:tr w14:paraId="5C49751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51646E6D">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5E99077C">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A2584B9">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支持通报短信提醒功能；</w:t>
            </w:r>
          </w:p>
        </w:tc>
      </w:tr>
      <w:tr w14:paraId="73DFA51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40D2A986">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4AD0C17B">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33A06D8B">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通报处置标签支持自定义，并支持筛选；</w:t>
            </w:r>
          </w:p>
        </w:tc>
      </w:tr>
      <w:tr w14:paraId="58789B6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right w:val="single" w:color="auto" w:sz="6" w:space="0"/>
            </w:tcBorders>
            <w:vAlign w:val="center"/>
          </w:tcPr>
          <w:p w14:paraId="4A084811">
            <w:pPr>
              <w:rPr>
                <w:rFonts w:ascii="宋体" w:hAnsi="宋体"/>
                <w:color w:val="000000"/>
                <w:sz w:val="20"/>
                <w:szCs w:val="20"/>
                <w:lang w:eastAsia="zh-Hans"/>
              </w:rPr>
            </w:pPr>
          </w:p>
        </w:tc>
        <w:tc>
          <w:tcPr>
            <w:tcW w:w="771" w:type="pct"/>
            <w:vMerge w:val="continue"/>
            <w:tcBorders>
              <w:left w:val="single" w:color="auto" w:sz="6" w:space="0"/>
              <w:right w:val="single" w:color="auto" w:sz="6" w:space="0"/>
            </w:tcBorders>
            <w:tcMar>
              <w:top w:w="75" w:type="dxa"/>
              <w:left w:w="75" w:type="dxa"/>
              <w:bottom w:w="75" w:type="dxa"/>
              <w:right w:w="75" w:type="dxa"/>
            </w:tcMar>
            <w:vAlign w:val="center"/>
          </w:tcPr>
          <w:p w14:paraId="27A152A4">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75C7771B">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通报列表支持用户自定义选择列表字段展示；</w:t>
            </w:r>
          </w:p>
        </w:tc>
      </w:tr>
      <w:tr w14:paraId="5E395E7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15" w:type="dxa"/>
            <w:left w:w="15" w:type="dxa"/>
            <w:bottom w:w="15" w:type="dxa"/>
            <w:right w:w="15" w:type="dxa"/>
          </w:tblCellMar>
        </w:tblPrEx>
        <w:trPr>
          <w:cantSplit/>
        </w:trPr>
        <w:tc>
          <w:tcPr>
            <w:tcW w:w="569" w:type="pct"/>
            <w:vMerge w:val="continue"/>
            <w:tcBorders>
              <w:left w:val="single" w:color="auto" w:sz="6" w:space="0"/>
              <w:bottom w:val="single" w:color="auto" w:sz="6" w:space="0"/>
              <w:right w:val="single" w:color="auto" w:sz="6" w:space="0"/>
            </w:tcBorders>
            <w:vAlign w:val="center"/>
          </w:tcPr>
          <w:p w14:paraId="62B5621A">
            <w:pPr>
              <w:rPr>
                <w:rFonts w:ascii="宋体" w:hAnsi="宋体"/>
                <w:color w:val="000000"/>
                <w:sz w:val="20"/>
                <w:szCs w:val="20"/>
                <w:lang w:eastAsia="zh-Hans"/>
              </w:rPr>
            </w:pPr>
          </w:p>
        </w:tc>
        <w:tc>
          <w:tcPr>
            <w:tcW w:w="771" w:type="pct"/>
            <w:vMerge w:val="continue"/>
            <w:tcBorders>
              <w:left w:val="single" w:color="auto" w:sz="6" w:space="0"/>
              <w:bottom w:val="single" w:color="auto" w:sz="6" w:space="0"/>
              <w:right w:val="single" w:color="auto" w:sz="6" w:space="0"/>
            </w:tcBorders>
            <w:tcMar>
              <w:top w:w="75" w:type="dxa"/>
              <w:left w:w="75" w:type="dxa"/>
              <w:bottom w:w="75" w:type="dxa"/>
              <w:right w:w="75" w:type="dxa"/>
            </w:tcMar>
            <w:vAlign w:val="center"/>
          </w:tcPr>
          <w:p w14:paraId="6D9B6905">
            <w:pPr>
              <w:rPr>
                <w:rFonts w:ascii="宋体" w:hAnsi="宋体"/>
                <w:color w:val="000000"/>
                <w:sz w:val="20"/>
                <w:szCs w:val="20"/>
                <w:lang w:eastAsia="zh-Hans"/>
              </w:rPr>
            </w:pPr>
          </w:p>
        </w:tc>
        <w:tc>
          <w:tcPr>
            <w:tcW w:w="3659" w:type="pct"/>
            <w:tcBorders>
              <w:top w:val="single" w:color="auto" w:sz="6" w:space="0"/>
              <w:left w:val="single" w:color="auto" w:sz="6" w:space="0"/>
              <w:bottom w:val="single" w:color="auto" w:sz="6" w:space="0"/>
              <w:right w:val="single" w:color="auto" w:sz="6" w:space="0"/>
            </w:tcBorders>
            <w:tcMar>
              <w:top w:w="75" w:type="dxa"/>
              <w:left w:w="75" w:type="dxa"/>
              <w:bottom w:w="75" w:type="dxa"/>
              <w:right w:w="75" w:type="dxa"/>
            </w:tcMar>
            <w:vAlign w:val="center"/>
          </w:tcPr>
          <w:p w14:paraId="41A8FD5E">
            <w:pPr>
              <w:shd w:val="clear" w:color="auto" w:fill="FFFFFF"/>
              <w:spacing w:before="150"/>
              <w:rPr>
                <w:rFonts w:ascii="宋体" w:hAnsi="宋体"/>
                <w:color w:val="000000"/>
                <w:sz w:val="20"/>
                <w:szCs w:val="20"/>
                <w:lang w:eastAsia="zh-Hans"/>
              </w:rPr>
            </w:pPr>
            <w:r>
              <w:rPr>
                <w:rFonts w:ascii="宋体" w:hAnsi="宋体"/>
                <w:color w:val="000000"/>
                <w:sz w:val="20"/>
                <w:szCs w:val="20"/>
                <w:lang w:eastAsia="zh-Hans"/>
              </w:rPr>
              <w:t>新增通报页面支持自定义字段拓展。</w:t>
            </w:r>
          </w:p>
        </w:tc>
      </w:tr>
      <w:tr w14:paraId="2AA4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restart"/>
            <w:shd w:val="clear" w:color="auto" w:fill="FFFFFF"/>
            <w:tcMar>
              <w:top w:w="105" w:type="dxa"/>
              <w:left w:w="150" w:type="dxa"/>
              <w:bottom w:w="105" w:type="dxa"/>
              <w:right w:w="150" w:type="dxa"/>
            </w:tcMar>
            <w:vAlign w:val="center"/>
          </w:tcPr>
          <w:p w14:paraId="6A849345">
            <w:pPr>
              <w:jc w:val="center"/>
              <w:rPr>
                <w:rFonts w:ascii="宋体" w:hAnsi="宋体"/>
                <w:color w:val="000000"/>
                <w:sz w:val="20"/>
                <w:szCs w:val="20"/>
              </w:rPr>
            </w:pPr>
            <w:bookmarkStart w:id="4" w:name="_Hlk79052980"/>
            <w:r>
              <w:rPr>
                <w:rFonts w:hint="eastAsia" w:ascii="宋体" w:hAnsi="宋体"/>
                <w:color w:val="000000"/>
                <w:sz w:val="20"/>
                <w:szCs w:val="20"/>
              </w:rPr>
              <w:t>监测</w:t>
            </w:r>
          </w:p>
          <w:p w14:paraId="5B5AD8BD">
            <w:pPr>
              <w:jc w:val="center"/>
              <w:rPr>
                <w:rFonts w:ascii="宋体" w:hAnsi="宋体"/>
                <w:color w:val="000000"/>
                <w:sz w:val="20"/>
                <w:szCs w:val="20"/>
              </w:rPr>
            </w:pPr>
            <w:r>
              <w:rPr>
                <w:rFonts w:hint="eastAsia" w:ascii="宋体" w:hAnsi="宋体"/>
                <w:color w:val="000000"/>
                <w:sz w:val="20"/>
                <w:szCs w:val="20"/>
              </w:rPr>
              <w:t>中心</w:t>
            </w:r>
          </w:p>
        </w:tc>
        <w:tc>
          <w:tcPr>
            <w:tcW w:w="771" w:type="pct"/>
            <w:vMerge w:val="restart"/>
            <w:shd w:val="clear" w:color="auto" w:fill="FFFFFF"/>
            <w:tcMar>
              <w:top w:w="105" w:type="dxa"/>
              <w:left w:w="150" w:type="dxa"/>
              <w:bottom w:w="105" w:type="dxa"/>
              <w:right w:w="150" w:type="dxa"/>
            </w:tcMar>
            <w:vAlign w:val="center"/>
          </w:tcPr>
          <w:p w14:paraId="595D7768">
            <w:pPr>
              <w:jc w:val="cente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风险处置</w:t>
            </w:r>
          </w:p>
        </w:tc>
        <w:tc>
          <w:tcPr>
            <w:tcW w:w="3659" w:type="pct"/>
            <w:shd w:val="clear" w:color="auto" w:fill="FFFFFF"/>
            <w:tcMar>
              <w:top w:w="105" w:type="dxa"/>
              <w:left w:w="150" w:type="dxa"/>
              <w:bottom w:w="105" w:type="dxa"/>
              <w:right w:w="150" w:type="dxa"/>
            </w:tcMar>
            <w:vAlign w:val="center"/>
          </w:tcPr>
          <w:p w14:paraId="417E870F">
            <w:pPr>
              <w:rPr>
                <w:rFonts w:ascii="宋体" w:hAnsi="宋体"/>
                <w:color w:val="000000"/>
                <w:sz w:val="20"/>
                <w:szCs w:val="20"/>
              </w:rPr>
            </w:pPr>
            <w:r>
              <w:rPr>
                <w:rFonts w:hint="eastAsia" w:ascii="宋体" w:hAnsi="宋体"/>
                <w:color w:val="000000"/>
                <w:sz w:val="20"/>
                <w:szCs w:val="20"/>
              </w:rPr>
              <w:t>平台提供事件成果解决方案，实现事件导入导出、事件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检索、事件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研判、事件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处置完整的事件处置流程。</w:t>
            </w:r>
          </w:p>
        </w:tc>
      </w:tr>
      <w:tr w14:paraId="6320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tcMar>
              <w:top w:w="105" w:type="dxa"/>
              <w:left w:w="150" w:type="dxa"/>
              <w:bottom w:w="105" w:type="dxa"/>
              <w:right w:w="150" w:type="dxa"/>
            </w:tcMar>
            <w:vAlign w:val="center"/>
          </w:tcPr>
          <w:p w14:paraId="14497CFF">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18AF9DB7">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31FA8792">
            <w:pP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检索，支持按事件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名称、受害者、处置状态、起始时间、单位名称、威胁级别、数据来源、所属区域等字段进行事件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组合检索。</w:t>
            </w:r>
          </w:p>
        </w:tc>
      </w:tr>
      <w:tr w14:paraId="00E64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tcMar>
              <w:top w:w="105" w:type="dxa"/>
              <w:left w:w="150" w:type="dxa"/>
              <w:bottom w:w="105" w:type="dxa"/>
              <w:right w:w="150" w:type="dxa"/>
            </w:tcMar>
            <w:vAlign w:val="center"/>
          </w:tcPr>
          <w:p w14:paraId="771E0FB0">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69407385">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4E54FF2D">
            <w:pP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批量处置，支持事件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批量导入导出和批量通报。</w:t>
            </w:r>
          </w:p>
        </w:tc>
      </w:tr>
      <w:tr w14:paraId="651CE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tcMar>
              <w:top w:w="105" w:type="dxa"/>
              <w:left w:w="150" w:type="dxa"/>
              <w:bottom w:w="105" w:type="dxa"/>
              <w:right w:w="150" w:type="dxa"/>
            </w:tcMar>
            <w:vAlign w:val="center"/>
          </w:tcPr>
          <w:p w14:paraId="4F2559B4">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3DD6F3FC">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454FECC0">
            <w:pP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展示信息，包括事件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名称、IP地址、单位名称、威胁级别、区域、发生时间、数据来源、处置状态和事件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操作等信息。</w:t>
            </w:r>
          </w:p>
        </w:tc>
      </w:tr>
      <w:tr w14:paraId="14542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tcMar>
              <w:top w:w="105" w:type="dxa"/>
              <w:left w:w="150" w:type="dxa"/>
              <w:bottom w:w="105" w:type="dxa"/>
              <w:right w:w="150" w:type="dxa"/>
            </w:tcMar>
            <w:vAlign w:val="center"/>
          </w:tcPr>
          <w:p w14:paraId="7481FCB7">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64D64B37">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4817826D">
            <w:pP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详细信息查看，支持展示事件等级、攻击者、威胁等级、发现厂商、事件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来源、危害程度、事件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报警源文件等信息。</w:t>
            </w:r>
          </w:p>
        </w:tc>
      </w:tr>
      <w:tr w14:paraId="72FDD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tcMar>
              <w:top w:w="105" w:type="dxa"/>
              <w:left w:w="150" w:type="dxa"/>
              <w:bottom w:w="105" w:type="dxa"/>
              <w:right w:w="150" w:type="dxa"/>
            </w:tcMar>
            <w:vAlign w:val="center"/>
          </w:tcPr>
          <w:p w14:paraId="353ED86A">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56845183">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3BB465CC">
            <w:pP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信息联想，支持通过事件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数据关联同类型事件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、同单位事件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、同终端事件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等联想方式。</w:t>
            </w:r>
          </w:p>
        </w:tc>
      </w:tr>
      <w:tr w14:paraId="16EA1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tcMar>
              <w:top w:w="105" w:type="dxa"/>
              <w:left w:w="150" w:type="dxa"/>
              <w:bottom w:w="105" w:type="dxa"/>
              <w:right w:w="150" w:type="dxa"/>
            </w:tcMar>
            <w:vAlign w:val="center"/>
          </w:tcPr>
          <w:p w14:paraId="1924C626">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32B8BAB0">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590C61A2">
            <w:pP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通报，支持事件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关联通报中心，一键生成通报信息或针对安全事件选择任务处置场景剧本下发自动化处置任务进行处置。</w:t>
            </w:r>
          </w:p>
        </w:tc>
      </w:tr>
      <w:tr w14:paraId="7C70F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tcMar>
              <w:top w:w="105" w:type="dxa"/>
              <w:left w:w="150" w:type="dxa"/>
              <w:bottom w:w="105" w:type="dxa"/>
              <w:right w:w="150" w:type="dxa"/>
            </w:tcMar>
            <w:vAlign w:val="center"/>
          </w:tcPr>
          <w:p w14:paraId="1EF13120">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1F31040B">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7FDC1A60">
            <w:pPr>
              <w:rPr>
                <w:rFonts w:ascii="宋体" w:hAnsi="宋体"/>
                <w:color w:val="000000"/>
                <w:sz w:val="20"/>
                <w:szCs w:val="20"/>
              </w:rPr>
            </w:pPr>
            <w:r>
              <w:rPr>
                <w:rFonts w:hint="eastAsia" w:ascii="宋体" w:hAnsi="宋体"/>
                <w:color w:val="000000"/>
                <w:sz w:val="20"/>
                <w:szCs w:val="20"/>
              </w:rPr>
              <w:t>事件</w:t>
            </w:r>
            <w:r>
              <w:rPr>
                <w:rFonts w:ascii="宋体" w:hAnsi="宋体"/>
                <w:color w:val="000000"/>
                <w:sz w:val="20"/>
                <w:szCs w:val="20"/>
              </w:rPr>
              <w:t>/</w:t>
            </w:r>
            <w:r>
              <w:rPr>
                <w:rFonts w:hint="eastAsia" w:ascii="宋体" w:hAnsi="宋体"/>
                <w:color w:val="000000"/>
                <w:sz w:val="20"/>
                <w:szCs w:val="20"/>
                <w:lang w:eastAsia="zh-Hans"/>
              </w:rPr>
              <w:t>风险</w:t>
            </w:r>
            <w:r>
              <w:rPr>
                <w:rFonts w:hint="eastAsia" w:ascii="宋体" w:hAnsi="宋体"/>
                <w:color w:val="000000"/>
                <w:sz w:val="20"/>
                <w:szCs w:val="20"/>
              </w:rPr>
              <w:t>研判，支持事件溯源分析研判。</w:t>
            </w:r>
          </w:p>
        </w:tc>
      </w:tr>
      <w:tr w14:paraId="07769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vAlign w:val="center"/>
          </w:tcPr>
          <w:p w14:paraId="7CFE6AC8">
            <w:pPr>
              <w:jc w:val="center"/>
              <w:rPr>
                <w:rFonts w:ascii="宋体" w:hAnsi="宋体"/>
                <w:color w:val="000000"/>
                <w:sz w:val="20"/>
                <w:szCs w:val="20"/>
              </w:rPr>
            </w:pPr>
          </w:p>
        </w:tc>
        <w:tc>
          <w:tcPr>
            <w:tcW w:w="771" w:type="pct"/>
            <w:vMerge w:val="restart"/>
            <w:shd w:val="clear" w:color="auto" w:fill="FFFFFF"/>
            <w:tcMar>
              <w:top w:w="105" w:type="dxa"/>
              <w:left w:w="150" w:type="dxa"/>
              <w:bottom w:w="105" w:type="dxa"/>
              <w:right w:w="150" w:type="dxa"/>
            </w:tcMar>
            <w:vAlign w:val="center"/>
          </w:tcPr>
          <w:p w14:paraId="1C49B6BC">
            <w:pPr>
              <w:jc w:val="center"/>
              <w:rPr>
                <w:rFonts w:ascii="宋体" w:hAnsi="宋体"/>
                <w:color w:val="000000"/>
                <w:sz w:val="20"/>
                <w:szCs w:val="20"/>
              </w:rPr>
            </w:pPr>
            <w:r>
              <w:rPr>
                <w:rFonts w:hint="eastAsia" w:ascii="宋体" w:hAnsi="宋体"/>
                <w:color w:val="000000"/>
                <w:sz w:val="20"/>
                <w:szCs w:val="20"/>
              </w:rPr>
              <w:t>攻击搜索</w:t>
            </w:r>
          </w:p>
        </w:tc>
        <w:tc>
          <w:tcPr>
            <w:tcW w:w="3659" w:type="pct"/>
            <w:shd w:val="clear" w:color="auto" w:fill="FFFFFF"/>
            <w:tcMar>
              <w:top w:w="105" w:type="dxa"/>
              <w:left w:w="150" w:type="dxa"/>
              <w:bottom w:w="105" w:type="dxa"/>
              <w:right w:w="150" w:type="dxa"/>
            </w:tcMar>
            <w:vAlign w:val="center"/>
          </w:tcPr>
          <w:p w14:paraId="58D7CD30">
            <w:pPr>
              <w:rPr>
                <w:rFonts w:ascii="宋体" w:hAnsi="宋体"/>
                <w:color w:val="000000"/>
                <w:sz w:val="20"/>
                <w:szCs w:val="20"/>
              </w:rPr>
            </w:pPr>
            <w:r>
              <w:rPr>
                <w:rFonts w:hint="eastAsia" w:ascii="宋体" w:hAnsi="宋体"/>
                <w:color w:val="000000"/>
                <w:sz w:val="20"/>
                <w:szCs w:val="20"/>
              </w:rPr>
              <w:t>平台提供攻击搜索解决方案，支持攻击导入导出、攻击检索、攻击研判分析、攻击分类等功能。</w:t>
            </w:r>
          </w:p>
        </w:tc>
      </w:tr>
      <w:tr w14:paraId="5162C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vAlign w:val="center"/>
          </w:tcPr>
          <w:p w14:paraId="1F8D6EA8">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04983C88">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71D145D5">
            <w:pPr>
              <w:rPr>
                <w:rFonts w:ascii="宋体" w:hAnsi="宋体"/>
                <w:color w:val="000000"/>
                <w:sz w:val="20"/>
                <w:szCs w:val="20"/>
              </w:rPr>
            </w:pPr>
            <w:r>
              <w:rPr>
                <w:rFonts w:hint="eastAsia" w:ascii="宋体" w:hAnsi="宋体"/>
                <w:color w:val="000000"/>
                <w:sz w:val="20"/>
                <w:szCs w:val="20"/>
              </w:rPr>
              <w:t>攻击检索，平台支持</w:t>
            </w:r>
            <w:r>
              <w:rPr>
                <w:rFonts w:ascii="宋体" w:hAnsi="宋体"/>
                <w:color w:val="000000"/>
                <w:sz w:val="20"/>
                <w:szCs w:val="20"/>
              </w:rPr>
              <w:t>“与”</w:t>
            </w:r>
            <w:r>
              <w:rPr>
                <w:rFonts w:hint="eastAsia" w:ascii="宋体" w:hAnsi="宋体"/>
                <w:color w:val="000000"/>
                <w:sz w:val="20"/>
                <w:szCs w:val="20"/>
              </w:rPr>
              <w:t>、“或”、“包含”等不低于15种语法检索。</w:t>
            </w:r>
          </w:p>
        </w:tc>
      </w:tr>
      <w:tr w14:paraId="4A71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vAlign w:val="center"/>
          </w:tcPr>
          <w:p w14:paraId="2AB86A7A">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1F9ACEDE">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3DB064B2">
            <w:pPr>
              <w:rPr>
                <w:rFonts w:ascii="宋体" w:hAnsi="宋体"/>
                <w:color w:val="000000"/>
                <w:sz w:val="20"/>
                <w:szCs w:val="20"/>
              </w:rPr>
            </w:pPr>
            <w:r>
              <w:rPr>
                <w:rFonts w:hint="eastAsia" w:ascii="宋体" w:hAnsi="宋体"/>
                <w:color w:val="000000"/>
                <w:sz w:val="20"/>
                <w:szCs w:val="20"/>
              </w:rPr>
              <w:t>攻击场景聚合，根据攻击类型和攻击信息进行数据聚合分析，支持不低于13种攻击类型分类，支持自定义攻击信息字段。</w:t>
            </w:r>
          </w:p>
        </w:tc>
      </w:tr>
      <w:tr w14:paraId="2B571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569" w:type="pct"/>
            <w:vMerge w:val="continue"/>
            <w:shd w:val="clear" w:color="auto" w:fill="FFFFFF"/>
            <w:vAlign w:val="center"/>
          </w:tcPr>
          <w:p w14:paraId="3B74E5F7">
            <w:pPr>
              <w:jc w:val="center"/>
              <w:rPr>
                <w:rFonts w:ascii="宋体" w:hAnsi="宋体"/>
                <w:color w:val="000000"/>
                <w:sz w:val="20"/>
                <w:szCs w:val="20"/>
              </w:rPr>
            </w:pPr>
          </w:p>
        </w:tc>
        <w:tc>
          <w:tcPr>
            <w:tcW w:w="771" w:type="pct"/>
            <w:vMerge w:val="continue"/>
            <w:shd w:val="clear" w:color="auto" w:fill="FFFFFF"/>
            <w:tcMar>
              <w:top w:w="105" w:type="dxa"/>
              <w:left w:w="150" w:type="dxa"/>
              <w:bottom w:w="105" w:type="dxa"/>
              <w:right w:w="150" w:type="dxa"/>
            </w:tcMar>
            <w:vAlign w:val="center"/>
          </w:tcPr>
          <w:p w14:paraId="166C8E71">
            <w:pPr>
              <w:jc w:val="center"/>
              <w:rPr>
                <w:rFonts w:ascii="宋体" w:hAnsi="宋体"/>
                <w:color w:val="000000"/>
                <w:sz w:val="20"/>
                <w:szCs w:val="20"/>
              </w:rPr>
            </w:pPr>
          </w:p>
        </w:tc>
        <w:tc>
          <w:tcPr>
            <w:tcW w:w="3659" w:type="pct"/>
            <w:shd w:val="clear" w:color="auto" w:fill="FFFFFF"/>
            <w:tcMar>
              <w:top w:w="105" w:type="dxa"/>
              <w:left w:w="150" w:type="dxa"/>
              <w:bottom w:w="105" w:type="dxa"/>
              <w:right w:w="150" w:type="dxa"/>
            </w:tcMar>
            <w:vAlign w:val="center"/>
          </w:tcPr>
          <w:p w14:paraId="05D29735">
            <w:pPr>
              <w:rPr>
                <w:rFonts w:ascii="宋体" w:hAnsi="宋体"/>
                <w:color w:val="000000"/>
                <w:sz w:val="20"/>
                <w:szCs w:val="20"/>
              </w:rPr>
            </w:pPr>
            <w:r>
              <w:rPr>
                <w:rFonts w:hint="eastAsia" w:ascii="宋体" w:hAnsi="宋体"/>
                <w:color w:val="000000"/>
                <w:sz w:val="20"/>
                <w:szCs w:val="20"/>
              </w:rPr>
              <w:t>攻击信息展示，支持来源IP、目的IP、告警类型、事件名称、目的端口、威胁等级、起始时间、处置状态、单位名称、告警名称、数据流向、攻击者、设备名称等信息展示。</w:t>
            </w:r>
          </w:p>
        </w:tc>
        <w:bookmarkStart w:id="5" w:name="_考核评价"/>
      </w:tr>
      <w:bookmarkEnd w:id="4"/>
      <w:bookmarkEnd w:id="5"/>
    </w:tbl>
    <w:p w14:paraId="0141336E">
      <w:pPr>
        <w:spacing w:line="360" w:lineRule="auto"/>
        <w:jc w:val="left"/>
        <w:outlineLvl w:val="0"/>
        <w:rPr>
          <w:rFonts w:ascii="宋体" w:hAnsi="宋体"/>
          <w:bCs/>
          <w:sz w:val="24"/>
        </w:rPr>
      </w:pPr>
    </w:p>
    <w:p w14:paraId="4931026D">
      <w:pPr>
        <w:spacing w:line="360" w:lineRule="auto"/>
        <w:jc w:val="left"/>
        <w:outlineLvl w:val="0"/>
        <w:rPr>
          <w:rFonts w:ascii="宋体" w:hAnsi="宋体"/>
          <w:bCs/>
          <w:sz w:val="24"/>
        </w:rPr>
      </w:pPr>
    </w:p>
    <w:p w14:paraId="6136EC60">
      <w:pPr>
        <w:spacing w:line="360" w:lineRule="auto"/>
        <w:jc w:val="left"/>
        <w:outlineLvl w:val="0"/>
        <w:rPr>
          <w:rFonts w:ascii="宋体" w:hAnsi="宋体"/>
          <w:bCs/>
          <w:sz w:val="24"/>
        </w:rPr>
      </w:pPr>
    </w:p>
    <w:p w14:paraId="42391846">
      <w:pPr>
        <w:spacing w:line="360" w:lineRule="auto"/>
        <w:jc w:val="left"/>
        <w:outlineLvl w:val="0"/>
        <w:rPr>
          <w:rFonts w:ascii="宋体" w:hAnsi="宋体"/>
          <w:bCs/>
          <w:sz w:val="24"/>
        </w:rPr>
      </w:pPr>
    </w:p>
    <w:p w14:paraId="47A39C08">
      <w:pPr>
        <w:spacing w:line="360" w:lineRule="auto"/>
        <w:jc w:val="left"/>
        <w:outlineLvl w:val="0"/>
        <w:rPr>
          <w:rFonts w:ascii="宋体" w:hAnsi="宋体"/>
          <w:bCs/>
          <w:sz w:val="24"/>
        </w:rPr>
      </w:pPr>
    </w:p>
    <w:p w14:paraId="26D49C16">
      <w:pPr>
        <w:spacing w:line="360" w:lineRule="auto"/>
        <w:jc w:val="left"/>
        <w:outlineLvl w:val="0"/>
        <w:rPr>
          <w:rFonts w:ascii="宋体" w:hAnsi="宋体"/>
          <w:bCs/>
          <w:sz w:val="24"/>
        </w:rPr>
      </w:pPr>
    </w:p>
    <w:p w14:paraId="05B0035C">
      <w:pPr>
        <w:pStyle w:val="4"/>
      </w:pPr>
    </w:p>
    <w:p w14:paraId="29D6F388">
      <w:pPr>
        <w:outlineLvl w:val="1"/>
        <w:rPr>
          <w:b/>
          <w:bCs/>
          <w:sz w:val="28"/>
          <w:szCs w:val="28"/>
        </w:rPr>
      </w:pPr>
    </w:p>
    <w:p w14:paraId="404CD7BF">
      <w:pPr>
        <w:outlineLvl w:val="1"/>
        <w:rPr>
          <w:b/>
          <w:bCs/>
          <w:sz w:val="28"/>
          <w:szCs w:val="28"/>
        </w:rPr>
      </w:pPr>
      <w:r>
        <w:rPr>
          <w:rFonts w:hint="eastAsia"/>
          <w:b/>
          <w:bCs/>
          <w:sz w:val="28"/>
          <w:szCs w:val="28"/>
        </w:rPr>
        <w:t>三、投标文件组成</w:t>
      </w:r>
    </w:p>
    <w:p w14:paraId="4DE7A6ED">
      <w:pPr>
        <w:spacing w:line="360" w:lineRule="auto"/>
        <w:ind w:firstLine="480" w:firstLineChars="200"/>
        <w:rPr>
          <w:rStyle w:val="22"/>
          <w:rFonts w:asciiTheme="majorEastAsia" w:hAnsiTheme="majorEastAsia" w:eastAsiaTheme="majorEastAsia" w:cstheme="majorEastAsia"/>
          <w:b w:val="0"/>
          <w:bCs w:val="0"/>
          <w:color w:val="333333"/>
          <w:sz w:val="24"/>
          <w:shd w:val="clear" w:color="auto" w:fill="FFFFFF"/>
        </w:rPr>
      </w:pPr>
      <w:r>
        <w:rPr>
          <w:rStyle w:val="22"/>
          <w:rFonts w:hint="eastAsia" w:asciiTheme="majorEastAsia" w:hAnsiTheme="majorEastAsia" w:eastAsiaTheme="majorEastAsia" w:cstheme="majorEastAsia"/>
          <w:b w:val="0"/>
          <w:bCs w:val="0"/>
          <w:color w:val="333333"/>
          <w:sz w:val="24"/>
          <w:shd w:val="clear" w:color="auto" w:fill="FFFFFF"/>
        </w:rPr>
        <w:t>（1）技术标</w:t>
      </w:r>
    </w:p>
    <w:tbl>
      <w:tblPr>
        <w:tblStyle w:val="19"/>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7369E082">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3" w:type="dxa"/>
            <w:vAlign w:val="center"/>
          </w:tcPr>
          <w:p w14:paraId="00EC29B5">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17" w:type="dxa"/>
            <w:vAlign w:val="center"/>
          </w:tcPr>
          <w:p w14:paraId="29584A9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351177B">
            <w:pPr>
              <w:adjustRightInd w:val="0"/>
              <w:snapToGrid w:val="0"/>
              <w:spacing w:line="360" w:lineRule="auto"/>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w:t>
            </w:r>
          </w:p>
        </w:tc>
        <w:tc>
          <w:tcPr>
            <w:tcW w:w="7193" w:type="dxa"/>
            <w:vAlign w:val="center"/>
          </w:tcPr>
          <w:p w14:paraId="196B032D">
            <w:pPr>
              <w:adjustRightInd w:val="0"/>
              <w:snapToGrid w:val="0"/>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投标函</w:t>
            </w:r>
          </w:p>
        </w:tc>
        <w:tc>
          <w:tcPr>
            <w:tcW w:w="1717" w:type="dxa"/>
            <w:vAlign w:val="center"/>
          </w:tcPr>
          <w:p w14:paraId="39DC40C7">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180DBFD">
            <w:pPr>
              <w:adjustRightInd w:val="0"/>
              <w:snapToGrid w:val="0"/>
              <w:spacing w:line="360" w:lineRule="auto"/>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w:t>
            </w:r>
          </w:p>
        </w:tc>
        <w:tc>
          <w:tcPr>
            <w:tcW w:w="7193" w:type="dxa"/>
            <w:vAlign w:val="center"/>
          </w:tcPr>
          <w:p w14:paraId="6AB8E434">
            <w:pPr>
              <w:adjustRightInd w:val="0"/>
              <w:snapToGrid w:val="0"/>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资格证明文件</w:t>
            </w:r>
          </w:p>
        </w:tc>
        <w:tc>
          <w:tcPr>
            <w:tcW w:w="1717" w:type="dxa"/>
            <w:vAlign w:val="center"/>
          </w:tcPr>
          <w:p w14:paraId="3113560F">
            <w:pPr>
              <w:adjustRightInd w:val="0"/>
              <w:snapToGrid w:val="0"/>
              <w:spacing w:line="360" w:lineRule="auto"/>
              <w:jc w:val="center"/>
              <w:rPr>
                <w:rFonts w:asciiTheme="majorEastAsia" w:hAnsiTheme="majorEastAsia" w:eastAsiaTheme="majorEastAsia" w:cstheme="majorEastAsia"/>
                <w:bCs/>
                <w:sz w:val="24"/>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6D83AA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2.1</w:t>
            </w:r>
          </w:p>
        </w:tc>
        <w:tc>
          <w:tcPr>
            <w:tcW w:w="7193" w:type="dxa"/>
            <w:vAlign w:val="center"/>
          </w:tcPr>
          <w:p w14:paraId="61F5A517">
            <w:pPr>
              <w:adjustRightInd w:val="0"/>
              <w:snapToGrid w:val="0"/>
              <w:spacing w:line="360" w:lineRule="auto"/>
              <w:rPr>
                <w:rFonts w:asciiTheme="majorEastAsia" w:hAnsiTheme="majorEastAsia" w:eastAsiaTheme="majorEastAsia" w:cstheme="majorEastAsia"/>
                <w:bCs/>
                <w:sz w:val="24"/>
                <w:lang w:val="zh-CN"/>
              </w:rPr>
            </w:pPr>
            <w:r>
              <w:rPr>
                <w:rFonts w:hint="eastAsia" w:asciiTheme="majorEastAsia" w:hAnsiTheme="majorEastAsia" w:eastAsiaTheme="majorEastAsia" w:cstheme="majorEastAsia"/>
                <w:bCs/>
                <w:sz w:val="24"/>
              </w:rPr>
              <w:t>法定代表人授权书</w:t>
            </w:r>
          </w:p>
        </w:tc>
        <w:tc>
          <w:tcPr>
            <w:tcW w:w="1717" w:type="dxa"/>
            <w:vAlign w:val="center"/>
          </w:tcPr>
          <w:p w14:paraId="0D29D737">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DDCD601">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2.2</w:t>
            </w:r>
          </w:p>
        </w:tc>
        <w:tc>
          <w:tcPr>
            <w:tcW w:w="7193" w:type="dxa"/>
            <w:vAlign w:val="center"/>
          </w:tcPr>
          <w:p w14:paraId="5A72ED8B">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有效营业执照</w:t>
            </w:r>
          </w:p>
        </w:tc>
        <w:tc>
          <w:tcPr>
            <w:tcW w:w="1717" w:type="dxa"/>
            <w:vAlign w:val="center"/>
          </w:tcPr>
          <w:p w14:paraId="441BAF83">
            <w:pPr>
              <w:adjustRightInd w:val="0"/>
              <w:snapToGrid w:val="0"/>
              <w:spacing w:line="360" w:lineRule="auto"/>
              <w:jc w:val="center"/>
              <w:rPr>
                <w:rFonts w:asciiTheme="majorEastAsia" w:hAnsiTheme="majorEastAsia" w:eastAsiaTheme="majorEastAsia" w:cstheme="majorEastAsia"/>
                <w:bCs/>
                <w:sz w:val="24"/>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1B7740F8">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2.3</w:t>
            </w:r>
          </w:p>
        </w:tc>
        <w:tc>
          <w:tcPr>
            <w:tcW w:w="7193" w:type="dxa"/>
            <w:vAlign w:val="center"/>
          </w:tcPr>
          <w:p w14:paraId="7C9E1BFA">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相关资质的证明材料（如</w:t>
            </w:r>
            <w:r>
              <w:rPr>
                <w:rFonts w:ascii="Segoe UI" w:hAnsi="Segoe UI" w:eastAsia="Segoe UI" w:cs="Segoe UI"/>
                <w:sz w:val="24"/>
              </w:rPr>
              <w:t>经营许可证</w:t>
            </w:r>
            <w:r>
              <w:rPr>
                <w:rFonts w:hint="eastAsia" w:ascii="Segoe UI" w:hAnsi="Segoe UI" w:cs="Segoe UI"/>
                <w:sz w:val="24"/>
              </w:rPr>
              <w:t>等</w:t>
            </w:r>
            <w:r>
              <w:rPr>
                <w:rFonts w:hint="eastAsia" w:asciiTheme="majorEastAsia" w:hAnsiTheme="majorEastAsia" w:eastAsiaTheme="majorEastAsia" w:cstheme="majorEastAsia"/>
                <w:bCs/>
                <w:sz w:val="24"/>
              </w:rPr>
              <w:t>）</w:t>
            </w:r>
          </w:p>
        </w:tc>
        <w:tc>
          <w:tcPr>
            <w:tcW w:w="1717" w:type="dxa"/>
            <w:vAlign w:val="center"/>
          </w:tcPr>
          <w:p w14:paraId="3A8AED98">
            <w:pPr>
              <w:adjustRightInd w:val="0"/>
              <w:snapToGrid w:val="0"/>
              <w:spacing w:line="360" w:lineRule="auto"/>
              <w:jc w:val="center"/>
              <w:rPr>
                <w:rFonts w:asciiTheme="majorEastAsia" w:hAnsiTheme="majorEastAsia" w:eastAsiaTheme="majorEastAsia" w:cstheme="majorEastAsia"/>
                <w:bCs/>
                <w:sz w:val="24"/>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6B80983">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2.4</w:t>
            </w:r>
          </w:p>
        </w:tc>
        <w:tc>
          <w:tcPr>
            <w:tcW w:w="7193" w:type="dxa"/>
            <w:vAlign w:val="center"/>
          </w:tcPr>
          <w:p w14:paraId="57C37D3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vAlign w:val="center"/>
          </w:tcPr>
          <w:p w14:paraId="2D56E1A0">
            <w:pPr>
              <w:adjustRightInd w:val="0"/>
              <w:snapToGrid w:val="0"/>
              <w:spacing w:line="360" w:lineRule="auto"/>
              <w:jc w:val="center"/>
              <w:rPr>
                <w:rFonts w:asciiTheme="majorEastAsia" w:hAnsiTheme="majorEastAsia" w:eastAsiaTheme="majorEastAsia" w:cstheme="majorEastAsia"/>
                <w:bCs/>
                <w:sz w:val="24"/>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684086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3</w:t>
            </w:r>
          </w:p>
        </w:tc>
        <w:tc>
          <w:tcPr>
            <w:tcW w:w="7193" w:type="dxa"/>
            <w:vAlign w:val="center"/>
          </w:tcPr>
          <w:p w14:paraId="67F6BCB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采购要求响应表</w:t>
            </w:r>
          </w:p>
        </w:tc>
        <w:tc>
          <w:tcPr>
            <w:tcW w:w="1717" w:type="dxa"/>
            <w:vAlign w:val="center"/>
          </w:tcPr>
          <w:p w14:paraId="2F491205">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4F28795">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4</w:t>
            </w:r>
          </w:p>
        </w:tc>
        <w:tc>
          <w:tcPr>
            <w:tcW w:w="7193" w:type="dxa"/>
            <w:vAlign w:val="center"/>
          </w:tcPr>
          <w:p w14:paraId="1976451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服务方案</w:t>
            </w:r>
          </w:p>
        </w:tc>
        <w:tc>
          <w:tcPr>
            <w:tcW w:w="1717" w:type="dxa"/>
            <w:vAlign w:val="center"/>
          </w:tcPr>
          <w:p w14:paraId="0EE5D461">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86E70F0">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5</w:t>
            </w:r>
          </w:p>
        </w:tc>
        <w:tc>
          <w:tcPr>
            <w:tcW w:w="7193" w:type="dxa"/>
            <w:vAlign w:val="center"/>
          </w:tcPr>
          <w:p w14:paraId="58B7A777">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投标人认为需要提供的其他技术资料</w:t>
            </w:r>
          </w:p>
        </w:tc>
        <w:tc>
          <w:tcPr>
            <w:tcW w:w="1717" w:type="dxa"/>
            <w:vAlign w:val="center"/>
          </w:tcPr>
          <w:p w14:paraId="00C44DA3">
            <w:pPr>
              <w:adjustRightInd w:val="0"/>
              <w:snapToGrid w:val="0"/>
              <w:spacing w:line="360" w:lineRule="auto"/>
              <w:jc w:val="center"/>
              <w:rPr>
                <w:rFonts w:asciiTheme="majorEastAsia" w:hAnsiTheme="majorEastAsia" w:eastAsiaTheme="majorEastAsia" w:cstheme="majorEastAsia"/>
                <w:bCs/>
                <w:sz w:val="24"/>
              </w:rPr>
            </w:pPr>
          </w:p>
        </w:tc>
      </w:tr>
    </w:tbl>
    <w:p w14:paraId="34BCEBA3">
      <w:pPr>
        <w:spacing w:line="360" w:lineRule="auto"/>
        <w:rPr>
          <w:b/>
          <w:kern w:val="0"/>
          <w:sz w:val="24"/>
        </w:rPr>
      </w:pPr>
      <w:r>
        <w:rPr>
          <w:rFonts w:hint="eastAsia" w:asciiTheme="majorEastAsia" w:hAnsiTheme="majorEastAsia" w:eastAsiaTheme="majorEastAsia" w:cstheme="majorEastAsia"/>
          <w:b/>
          <w:sz w:val="24"/>
        </w:rPr>
        <w:t>说明：</w:t>
      </w:r>
      <w:r>
        <w:rPr>
          <w:rFonts w:hAnsi="宋体"/>
          <w:b/>
          <w:kern w:val="0"/>
          <w:sz w:val="24"/>
        </w:rPr>
        <w:t>发生下列情况之一的遴选响应文件被视为无效：</w:t>
      </w:r>
    </w:p>
    <w:p w14:paraId="376855B2">
      <w:pPr>
        <w:numPr>
          <w:ilvl w:val="0"/>
          <w:numId w:val="4"/>
        </w:numPr>
        <w:spacing w:line="360" w:lineRule="auto"/>
        <w:rPr>
          <w:rFonts w:hAnsi="宋体"/>
          <w:b/>
          <w:kern w:val="0"/>
          <w:sz w:val="24"/>
        </w:rPr>
      </w:pPr>
      <w:r>
        <w:rPr>
          <w:rFonts w:hint="eastAsia" w:hAnsi="宋体"/>
          <w:b/>
          <w:kern w:val="0"/>
          <w:sz w:val="24"/>
        </w:rPr>
        <w:t>文件递交</w:t>
      </w:r>
      <w:r>
        <w:rPr>
          <w:rFonts w:hAnsi="宋体"/>
          <w:b/>
          <w:kern w:val="0"/>
          <w:sz w:val="24"/>
        </w:rPr>
        <w:t>截止时间以后送达的</w:t>
      </w:r>
      <w:r>
        <w:rPr>
          <w:rFonts w:hint="eastAsia" w:hAnsi="宋体"/>
          <w:b/>
          <w:kern w:val="0"/>
          <w:sz w:val="24"/>
        </w:rPr>
        <w:t>比</w:t>
      </w:r>
      <w:r>
        <w:rPr>
          <w:rFonts w:hAnsi="宋体"/>
          <w:b/>
          <w:kern w:val="0"/>
          <w:sz w:val="24"/>
        </w:rPr>
        <w:t>选响应文件；</w:t>
      </w:r>
    </w:p>
    <w:p w14:paraId="6018EB58">
      <w:pPr>
        <w:numPr>
          <w:ilvl w:val="0"/>
          <w:numId w:val="4"/>
        </w:numPr>
        <w:spacing w:line="360" w:lineRule="auto"/>
        <w:rPr>
          <w:rFonts w:hAnsi="宋体"/>
          <w:b/>
          <w:kern w:val="0"/>
          <w:sz w:val="24"/>
        </w:rPr>
      </w:pPr>
      <w:r>
        <w:rPr>
          <w:rFonts w:hint="eastAsia" w:hAnsi="宋体"/>
          <w:b/>
          <w:kern w:val="0"/>
          <w:sz w:val="24"/>
        </w:rPr>
        <w:t>以电讯形式投标的比</w:t>
      </w:r>
      <w:r>
        <w:rPr>
          <w:rFonts w:hAnsi="宋体"/>
          <w:b/>
          <w:kern w:val="0"/>
          <w:sz w:val="24"/>
        </w:rPr>
        <w:t>选</w:t>
      </w:r>
      <w:r>
        <w:rPr>
          <w:rFonts w:hint="eastAsia" w:hAnsi="宋体"/>
          <w:b/>
          <w:kern w:val="0"/>
          <w:sz w:val="24"/>
        </w:rPr>
        <w:t>响应文件；</w:t>
      </w:r>
    </w:p>
    <w:p w14:paraId="47ED3050">
      <w:pPr>
        <w:numPr>
          <w:ilvl w:val="0"/>
          <w:numId w:val="4"/>
        </w:numPr>
        <w:spacing w:line="360" w:lineRule="auto"/>
        <w:rPr>
          <w:rFonts w:hAnsi="宋体"/>
          <w:b/>
          <w:kern w:val="0"/>
          <w:sz w:val="24"/>
        </w:rPr>
      </w:pPr>
      <w:r>
        <w:rPr>
          <w:rFonts w:hint="eastAsia" w:hAnsi="宋体"/>
          <w:b/>
          <w:kern w:val="0"/>
          <w:sz w:val="24"/>
        </w:rPr>
        <w:t>与比</w:t>
      </w:r>
      <w:r>
        <w:rPr>
          <w:rFonts w:hAnsi="宋体"/>
          <w:b/>
          <w:kern w:val="0"/>
          <w:sz w:val="24"/>
        </w:rPr>
        <w:t>选</w:t>
      </w:r>
      <w:r>
        <w:rPr>
          <w:rFonts w:hint="eastAsia" w:hAnsi="宋体"/>
          <w:b/>
          <w:kern w:val="0"/>
          <w:sz w:val="24"/>
        </w:rPr>
        <w:t>文件有重大偏离的比</w:t>
      </w:r>
      <w:r>
        <w:rPr>
          <w:rFonts w:hAnsi="宋体"/>
          <w:b/>
          <w:kern w:val="0"/>
          <w:sz w:val="24"/>
        </w:rPr>
        <w:t>选</w:t>
      </w:r>
      <w:r>
        <w:rPr>
          <w:rFonts w:hint="eastAsia" w:hAnsi="宋体"/>
          <w:b/>
          <w:kern w:val="0"/>
          <w:sz w:val="24"/>
        </w:rPr>
        <w:t>响应文件；</w:t>
      </w:r>
    </w:p>
    <w:p w14:paraId="3D386E27">
      <w:pPr>
        <w:numPr>
          <w:ilvl w:val="0"/>
          <w:numId w:val="4"/>
        </w:numPr>
        <w:spacing w:line="360" w:lineRule="auto"/>
        <w:rPr>
          <w:rFonts w:hAnsi="宋体"/>
          <w:b/>
          <w:kern w:val="0"/>
          <w:sz w:val="24"/>
        </w:rPr>
      </w:pPr>
      <w:r>
        <w:rPr>
          <w:rFonts w:hint="eastAsia" w:hAnsi="宋体"/>
          <w:b/>
          <w:kern w:val="0"/>
          <w:sz w:val="24"/>
        </w:rPr>
        <w:t>存在“▲”条款的负偏离或不满足要求；</w:t>
      </w:r>
    </w:p>
    <w:p w14:paraId="11E89B86">
      <w:pPr>
        <w:numPr>
          <w:ilvl w:val="0"/>
          <w:numId w:val="4"/>
        </w:numPr>
        <w:spacing w:line="360" w:lineRule="auto"/>
        <w:rPr>
          <w:rFonts w:hAnsi="宋体"/>
          <w:b/>
          <w:kern w:val="0"/>
          <w:sz w:val="24"/>
        </w:rPr>
      </w:pPr>
      <w:r>
        <w:rPr>
          <w:rFonts w:hint="eastAsia" w:hAnsi="宋体"/>
          <w:b/>
          <w:kern w:val="0"/>
          <w:sz w:val="24"/>
        </w:rPr>
        <w:t>资格证明文件不全，致使无法确认供应商的资格的；</w:t>
      </w:r>
    </w:p>
    <w:p w14:paraId="38DF0683">
      <w:pPr>
        <w:numPr>
          <w:ilvl w:val="0"/>
          <w:numId w:val="4"/>
        </w:numPr>
        <w:spacing w:line="360" w:lineRule="auto"/>
        <w:rPr>
          <w:rStyle w:val="22"/>
          <w:rFonts w:asciiTheme="majorEastAsia" w:hAnsiTheme="majorEastAsia" w:eastAsiaTheme="majorEastAsia" w:cstheme="majorEastAsia"/>
          <w:bCs w:val="0"/>
          <w:sz w:val="24"/>
          <w:shd w:val="clear" w:color="auto" w:fill="FFFFFF"/>
        </w:rPr>
      </w:pPr>
      <w:r>
        <w:rPr>
          <w:rFonts w:hint="eastAsia" w:hAnsi="宋体"/>
          <w:b/>
          <w:kern w:val="0"/>
          <w:sz w:val="24"/>
        </w:rPr>
        <w:t>超出经营范围响应的；</w:t>
      </w:r>
    </w:p>
    <w:p w14:paraId="563A6DE7">
      <w:pPr>
        <w:adjustRightInd w:val="0"/>
        <w:snapToGrid w:val="0"/>
        <w:spacing w:line="360" w:lineRule="auto"/>
        <w:rPr>
          <w:rStyle w:val="22"/>
          <w:rFonts w:asciiTheme="majorEastAsia" w:hAnsiTheme="majorEastAsia" w:eastAsiaTheme="majorEastAsia" w:cstheme="majorEastAsia"/>
          <w:b w:val="0"/>
          <w:bCs w:val="0"/>
          <w:color w:val="333333"/>
          <w:sz w:val="24"/>
          <w:shd w:val="clear" w:color="auto" w:fill="FFFFFF"/>
        </w:rPr>
      </w:pPr>
    </w:p>
    <w:p w14:paraId="0D474606">
      <w:pPr>
        <w:adjustRightInd w:val="0"/>
        <w:snapToGrid w:val="0"/>
        <w:spacing w:line="360" w:lineRule="auto"/>
        <w:rPr>
          <w:rStyle w:val="22"/>
          <w:rFonts w:asciiTheme="majorEastAsia" w:hAnsiTheme="majorEastAsia" w:eastAsiaTheme="majorEastAsia" w:cstheme="majorEastAsia"/>
          <w:b w:val="0"/>
          <w:bCs w:val="0"/>
          <w:color w:val="333333"/>
          <w:sz w:val="24"/>
          <w:shd w:val="clear" w:color="auto" w:fill="FFFFFF"/>
        </w:rPr>
      </w:pPr>
      <w:r>
        <w:rPr>
          <w:rStyle w:val="22"/>
          <w:rFonts w:hint="eastAsia" w:asciiTheme="majorEastAsia" w:hAnsiTheme="majorEastAsia" w:eastAsiaTheme="majorEastAsia" w:cstheme="majorEastAsia"/>
          <w:b w:val="0"/>
          <w:bCs w:val="0"/>
          <w:color w:val="333333"/>
          <w:sz w:val="24"/>
          <w:shd w:val="clear" w:color="auto" w:fill="FFFFFF"/>
        </w:rPr>
        <w:t>（2）商务标</w:t>
      </w:r>
    </w:p>
    <w:tbl>
      <w:tblPr>
        <w:tblStyle w:val="19"/>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44E08E58">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4" w:type="dxa"/>
            <w:vAlign w:val="center"/>
          </w:tcPr>
          <w:p w14:paraId="775AFBC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29" w:type="dxa"/>
            <w:vAlign w:val="center"/>
          </w:tcPr>
          <w:p w14:paraId="738B8664">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628C7CC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w:t>
            </w:r>
          </w:p>
        </w:tc>
        <w:tc>
          <w:tcPr>
            <w:tcW w:w="7194" w:type="dxa"/>
            <w:vAlign w:val="center"/>
          </w:tcPr>
          <w:p w14:paraId="4CB6B3ED">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投标报价一览表</w:t>
            </w:r>
          </w:p>
        </w:tc>
        <w:tc>
          <w:tcPr>
            <w:tcW w:w="1729" w:type="dxa"/>
            <w:vAlign w:val="center"/>
          </w:tcPr>
          <w:p w14:paraId="2CCC7D8D">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附件五</w:t>
            </w:r>
          </w:p>
        </w:tc>
      </w:tr>
    </w:tbl>
    <w:p w14:paraId="37B833A4">
      <w:pPr>
        <w:spacing w:line="360" w:lineRule="auto"/>
        <w:ind w:firstLine="720" w:firstLineChars="300"/>
        <w:rPr>
          <w:rFonts w:ascii="宋体" w:hAnsi="宋体" w:cs="宋体"/>
          <w:sz w:val="24"/>
        </w:rPr>
      </w:pPr>
    </w:p>
    <w:p w14:paraId="7A2B795A">
      <w:pPr>
        <w:spacing w:line="360" w:lineRule="auto"/>
        <w:ind w:firstLine="720" w:firstLineChars="3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firstLine="0"/>
        <w:rPr>
          <w:rFonts w:ascii="新宋体" w:hAnsi="新宋体" w:eastAsia="新宋体" w:cs="宋体"/>
          <w:bCs/>
          <w:sz w:val="32"/>
        </w:rPr>
      </w:pPr>
    </w:p>
    <w:p w14:paraId="7B0CD2B9"/>
    <w:p w14:paraId="726A1FC5">
      <w:pPr>
        <w:pStyle w:val="4"/>
      </w:pPr>
    </w:p>
    <w:p w14:paraId="5F51C5A0"/>
    <w:p w14:paraId="5F6144B1">
      <w:pPr>
        <w:pStyle w:val="4"/>
      </w:pPr>
    </w:p>
    <w:p w14:paraId="71D8E83F"/>
    <w:p w14:paraId="6C9255A1"/>
    <w:p w14:paraId="5E6955D7"/>
    <w:p w14:paraId="743EC778">
      <w:pPr>
        <w:pStyle w:val="4"/>
      </w:pPr>
    </w:p>
    <w:p w14:paraId="34D10C68"/>
    <w:p w14:paraId="5F029E21"/>
    <w:p w14:paraId="58B968B0">
      <w:pPr>
        <w:jc w:val="center"/>
        <w:rPr>
          <w:rFonts w:ascii="新宋体" w:hAnsi="新宋体" w:eastAsia="新宋体" w:cs="宋体"/>
          <w:b/>
          <w:bCs/>
          <w:kern w:val="0"/>
          <w:sz w:val="32"/>
          <w:szCs w:val="32"/>
        </w:rPr>
      </w:pPr>
      <w:r>
        <w:rPr>
          <w:rFonts w:hint="eastAsia" w:ascii="新宋体" w:hAnsi="新宋体" w:eastAsia="新宋体" w:cs="宋体"/>
          <w:b/>
          <w:bCs/>
          <w:kern w:val="0"/>
          <w:sz w:val="32"/>
          <w:szCs w:val="32"/>
        </w:rPr>
        <w:t>评审原则及方法</w:t>
      </w:r>
    </w:p>
    <w:p w14:paraId="0145CDDF">
      <w:pPr>
        <w:pStyle w:val="16"/>
        <w:shd w:val="clear" w:color="auto" w:fill="FFFFFF"/>
        <w:spacing w:line="360" w:lineRule="auto"/>
        <w:ind w:firstLine="556"/>
        <w:rPr>
          <w:rFonts w:asciiTheme="majorEastAsia" w:hAnsiTheme="majorEastAsia" w:eastAsiaTheme="majorEastAsia" w:cstheme="majorEastAsia"/>
          <w:b/>
          <w:bCs/>
          <w:kern w:val="2"/>
        </w:rPr>
      </w:pPr>
      <w:r>
        <w:rPr>
          <w:rFonts w:hint="eastAsia" w:asciiTheme="majorEastAsia" w:hAnsiTheme="majorEastAsia" w:eastAsiaTheme="majorEastAsia" w:cstheme="majorEastAsia"/>
          <w:b/>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spacing w:line="360" w:lineRule="auto"/>
        <w:ind w:firstLine="590" w:firstLineChars="245"/>
        <w:outlineLvl w:val="1"/>
        <w:rPr>
          <w:rFonts w:asciiTheme="majorEastAsia" w:hAnsiTheme="majorEastAsia" w:eastAsiaTheme="majorEastAsia" w:cstheme="majorEastAsia"/>
          <w:b/>
          <w:sz w:val="24"/>
        </w:rPr>
      </w:pPr>
      <w:bookmarkStart w:id="6" w:name="_Toc67"/>
      <w:bookmarkStart w:id="7" w:name="_Toc15153"/>
      <w:r>
        <w:rPr>
          <w:rFonts w:hint="eastAsia" w:asciiTheme="majorEastAsia" w:hAnsiTheme="majorEastAsia" w:eastAsiaTheme="majorEastAsia" w:cstheme="majorEastAsia"/>
          <w:b/>
          <w:sz w:val="24"/>
        </w:rPr>
        <w:t>一、评标程序</w:t>
      </w:r>
      <w:bookmarkEnd w:id="6"/>
      <w:bookmarkEnd w:id="7"/>
    </w:p>
    <w:p w14:paraId="23A7096E">
      <w:pPr>
        <w:spacing w:line="360" w:lineRule="auto"/>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bCs/>
          <w:sz w:val="24"/>
        </w:rPr>
        <w:t>评标委员按照比选文件中规定的评标方法和标准，对投标文件进行商务和技术评估，综合比较与评价</w:t>
      </w:r>
      <w:r>
        <w:rPr>
          <w:rFonts w:hint="eastAsia" w:asciiTheme="majorEastAsia" w:hAnsiTheme="majorEastAsia" w:eastAsiaTheme="majorEastAsia" w:cstheme="majorEastAsia"/>
          <w:sz w:val="24"/>
        </w:rPr>
        <w:t>，根据综合评审结果，提交评审报告。</w:t>
      </w:r>
    </w:p>
    <w:p w14:paraId="65A054A2">
      <w:pPr>
        <w:spacing w:line="360" w:lineRule="auto"/>
        <w:ind w:firstLine="590" w:firstLineChars="245"/>
        <w:outlineLvl w:val="1"/>
        <w:rPr>
          <w:rFonts w:asciiTheme="majorEastAsia" w:hAnsiTheme="majorEastAsia" w:eastAsiaTheme="majorEastAsia" w:cstheme="majorEastAsia"/>
          <w:b/>
          <w:sz w:val="24"/>
        </w:rPr>
      </w:pPr>
      <w:bookmarkStart w:id="8" w:name="_Toc24825"/>
      <w:bookmarkStart w:id="9" w:name="_Toc11306"/>
      <w:r>
        <w:rPr>
          <w:rFonts w:hint="eastAsia" w:asciiTheme="majorEastAsia" w:hAnsiTheme="majorEastAsia" w:eastAsiaTheme="majorEastAsia" w:cstheme="majorEastAsia"/>
          <w:b/>
          <w:sz w:val="24"/>
        </w:rPr>
        <w:t>二、评标办法</w:t>
      </w:r>
      <w:bookmarkEnd w:id="8"/>
      <w:bookmarkEnd w:id="9"/>
    </w:p>
    <w:p w14:paraId="18AFDA39">
      <w:pPr>
        <w:spacing w:line="360" w:lineRule="auto"/>
        <w:ind w:firstLine="588"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sz w:val="24"/>
        </w:rPr>
        <w:t>本次采购采用百分制综合评分法，即投标人最大限度地满足比选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sz w:val="24"/>
        </w:rPr>
        <w:t>总分设定为100分：技术标70分（权值70%），商务标报价30分（权值30%）。</w:t>
      </w:r>
    </w:p>
    <w:p w14:paraId="4308555F">
      <w:pPr>
        <w:spacing w:line="360" w:lineRule="auto"/>
        <w:ind w:firstLine="482" w:firstLineChars="200"/>
        <w:outlineLvl w:val="1"/>
        <w:rPr>
          <w:rFonts w:asciiTheme="majorEastAsia" w:hAnsiTheme="majorEastAsia" w:eastAsiaTheme="majorEastAsia" w:cstheme="majorEastAsia"/>
          <w:b/>
          <w:sz w:val="24"/>
        </w:rPr>
      </w:pPr>
      <w:bookmarkStart w:id="10" w:name="_Toc1535"/>
      <w:bookmarkStart w:id="11" w:name="_Toc11450"/>
      <w:r>
        <w:rPr>
          <w:rFonts w:hint="eastAsia" w:asciiTheme="majorEastAsia" w:hAnsiTheme="majorEastAsia" w:eastAsiaTheme="majorEastAsia" w:cstheme="majorEastAsia"/>
          <w:b/>
          <w:sz w:val="24"/>
        </w:rPr>
        <w:t>三、评分细则</w:t>
      </w:r>
      <w:bookmarkEnd w:id="10"/>
      <w:bookmarkEnd w:id="11"/>
    </w:p>
    <w:p w14:paraId="2D0FD410">
      <w:pPr>
        <w:spacing w:line="360" w:lineRule="auto"/>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1、技术分的评定：技术标70分（权值70%）</w:t>
      </w:r>
    </w:p>
    <w:p w14:paraId="39AE71A3">
      <w:pPr>
        <w:spacing w:line="360" w:lineRule="auto"/>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6125"/>
        <w:gridCol w:w="1033"/>
      </w:tblGrid>
      <w:tr w14:paraId="63D8D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0" w:type="pct"/>
            <w:vAlign w:val="center"/>
          </w:tcPr>
          <w:p w14:paraId="6F59909A">
            <w:pPr>
              <w:jc w:val="center"/>
              <w:rPr>
                <w:rFonts w:ascii="宋体" w:hAnsi="宋体"/>
                <w:b/>
                <w:sz w:val="22"/>
                <w:szCs w:val="22"/>
              </w:rPr>
            </w:pPr>
            <w:r>
              <w:rPr>
                <w:rFonts w:hint="eastAsia" w:ascii="宋体" w:hAnsi="宋体"/>
                <w:b/>
                <w:sz w:val="22"/>
                <w:szCs w:val="22"/>
              </w:rPr>
              <w:t>评分项目</w:t>
            </w:r>
          </w:p>
        </w:tc>
        <w:tc>
          <w:tcPr>
            <w:tcW w:w="3593" w:type="pct"/>
            <w:vAlign w:val="center"/>
          </w:tcPr>
          <w:p w14:paraId="67803F73">
            <w:pPr>
              <w:jc w:val="center"/>
              <w:rPr>
                <w:rFonts w:ascii="宋体" w:hAnsi="宋体"/>
                <w:b/>
                <w:sz w:val="22"/>
                <w:szCs w:val="22"/>
              </w:rPr>
            </w:pPr>
            <w:r>
              <w:rPr>
                <w:rFonts w:hint="eastAsia" w:ascii="宋体" w:hAnsi="宋体"/>
                <w:b/>
                <w:sz w:val="22"/>
                <w:szCs w:val="22"/>
              </w:rPr>
              <w:t>评分标准</w:t>
            </w:r>
          </w:p>
        </w:tc>
        <w:tc>
          <w:tcPr>
            <w:tcW w:w="606" w:type="pct"/>
            <w:vAlign w:val="center"/>
          </w:tcPr>
          <w:p w14:paraId="7238773D">
            <w:pPr>
              <w:jc w:val="center"/>
              <w:rPr>
                <w:rFonts w:ascii="宋体" w:hAnsi="宋体"/>
                <w:b/>
                <w:sz w:val="22"/>
                <w:szCs w:val="22"/>
              </w:rPr>
            </w:pPr>
            <w:r>
              <w:rPr>
                <w:rFonts w:hint="eastAsia" w:ascii="宋体" w:hAnsi="宋体"/>
                <w:b/>
                <w:sz w:val="22"/>
                <w:szCs w:val="22"/>
              </w:rPr>
              <w:t>分值</w:t>
            </w:r>
          </w:p>
        </w:tc>
      </w:tr>
      <w:tr w14:paraId="2948C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800" w:type="pct"/>
            <w:vAlign w:val="center"/>
          </w:tcPr>
          <w:p w14:paraId="3DF384BD">
            <w:pPr>
              <w:jc w:val="center"/>
              <w:rPr>
                <w:rFonts w:ascii="宋体" w:hAnsi="宋体"/>
                <w:b/>
                <w:sz w:val="22"/>
                <w:szCs w:val="22"/>
              </w:rPr>
            </w:pPr>
            <w:r>
              <w:rPr>
                <w:rFonts w:hint="eastAsia" w:ascii="宋体" w:hAnsi="宋体"/>
                <w:b/>
                <w:bCs/>
                <w:sz w:val="22"/>
                <w:szCs w:val="22"/>
              </w:rPr>
              <w:t>投标人综合实力</w:t>
            </w:r>
          </w:p>
        </w:tc>
        <w:tc>
          <w:tcPr>
            <w:tcW w:w="3593" w:type="pct"/>
          </w:tcPr>
          <w:p w14:paraId="1BBD9E0A">
            <w:pPr>
              <w:rPr>
                <w:rFonts w:ascii="宋体" w:hAnsi="宋体"/>
                <w:sz w:val="22"/>
                <w:szCs w:val="22"/>
              </w:rPr>
            </w:pPr>
            <w:r>
              <w:rPr>
                <w:rFonts w:hint="eastAsia" w:ascii="宋体" w:hAnsi="宋体"/>
                <w:sz w:val="22"/>
                <w:szCs w:val="22"/>
              </w:rPr>
              <w:t>投标人具有质量管理体系认证证书、环境管理体系认证证书、职业健康安全管理体系认证证书、信息技术服务管理体系认证证书、信息安全管理体系认证证书的每个证书得1分，最高5分。</w:t>
            </w:r>
          </w:p>
          <w:p w14:paraId="7DA4448A">
            <w:pPr>
              <w:rPr>
                <w:rFonts w:ascii="宋体" w:hAnsi="宋体"/>
                <w:sz w:val="22"/>
                <w:szCs w:val="22"/>
              </w:rPr>
            </w:pPr>
            <w:r>
              <w:rPr>
                <w:rFonts w:hint="eastAsia" w:ascii="宋体" w:hAnsi="宋体"/>
                <w:sz w:val="22"/>
                <w:szCs w:val="22"/>
              </w:rPr>
              <w:t>提供有效期内证书复印件加盖公章，否则不得分。</w:t>
            </w:r>
          </w:p>
        </w:tc>
        <w:tc>
          <w:tcPr>
            <w:tcW w:w="606" w:type="pct"/>
            <w:vAlign w:val="center"/>
          </w:tcPr>
          <w:p w14:paraId="4740D69B">
            <w:pPr>
              <w:jc w:val="center"/>
              <w:rPr>
                <w:rFonts w:ascii="宋体" w:hAnsi="宋体"/>
                <w:sz w:val="22"/>
                <w:szCs w:val="22"/>
              </w:rPr>
            </w:pPr>
            <w:r>
              <w:rPr>
                <w:rFonts w:hint="eastAsia" w:ascii="宋体" w:hAnsi="宋体"/>
                <w:sz w:val="22"/>
                <w:szCs w:val="22"/>
              </w:rPr>
              <w:t>5</w:t>
            </w:r>
          </w:p>
        </w:tc>
      </w:tr>
      <w:tr w14:paraId="0210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800" w:type="pct"/>
            <w:vAlign w:val="center"/>
          </w:tcPr>
          <w:p w14:paraId="2167EF35">
            <w:pPr>
              <w:jc w:val="center"/>
              <w:rPr>
                <w:rFonts w:ascii="宋体" w:hAnsi="宋体"/>
                <w:b/>
                <w:bCs/>
                <w:sz w:val="22"/>
                <w:szCs w:val="22"/>
              </w:rPr>
            </w:pPr>
            <w:r>
              <w:rPr>
                <w:rFonts w:hint="eastAsia" w:ascii="宋体" w:hAnsi="宋体"/>
                <w:b/>
                <w:bCs/>
                <w:sz w:val="22"/>
                <w:szCs w:val="22"/>
              </w:rPr>
              <w:t>类似项目业绩</w:t>
            </w:r>
          </w:p>
        </w:tc>
        <w:tc>
          <w:tcPr>
            <w:tcW w:w="3593" w:type="pct"/>
            <w:vAlign w:val="center"/>
          </w:tcPr>
          <w:p w14:paraId="65949749">
            <w:pPr>
              <w:rPr>
                <w:rFonts w:ascii="宋体" w:hAnsi="宋体"/>
                <w:sz w:val="22"/>
                <w:szCs w:val="22"/>
              </w:rPr>
            </w:pPr>
            <w:r>
              <w:rPr>
                <w:rFonts w:hint="eastAsia" w:ascii="宋体" w:hAnsi="宋体"/>
                <w:sz w:val="22"/>
                <w:szCs w:val="22"/>
              </w:rPr>
              <w:t>202</w:t>
            </w:r>
            <w:r>
              <w:rPr>
                <w:rFonts w:ascii="宋体" w:hAnsi="宋体"/>
                <w:sz w:val="22"/>
                <w:szCs w:val="22"/>
              </w:rPr>
              <w:t>2</w:t>
            </w:r>
            <w:r>
              <w:rPr>
                <w:rFonts w:hint="eastAsia" w:ascii="宋体" w:hAnsi="宋体"/>
                <w:sz w:val="22"/>
                <w:szCs w:val="22"/>
              </w:rPr>
              <w:t>年1月1日以来至今（以合同签订时间为准）投标人承接过类似项目业绩，每提供一个合同得1分，本项最高得</w:t>
            </w:r>
            <w:r>
              <w:rPr>
                <w:rFonts w:ascii="宋体" w:hAnsi="宋体"/>
                <w:sz w:val="22"/>
                <w:szCs w:val="22"/>
              </w:rPr>
              <w:t>3</w:t>
            </w:r>
            <w:r>
              <w:rPr>
                <w:rFonts w:hint="eastAsia" w:ascii="宋体" w:hAnsi="宋体"/>
                <w:sz w:val="22"/>
                <w:szCs w:val="22"/>
              </w:rPr>
              <w:t>分。</w:t>
            </w:r>
          </w:p>
          <w:p w14:paraId="2B5ED77A">
            <w:pPr>
              <w:rPr>
                <w:rFonts w:ascii="宋体" w:hAnsi="宋体"/>
                <w:sz w:val="22"/>
                <w:szCs w:val="22"/>
              </w:rPr>
            </w:pPr>
            <w:r>
              <w:rPr>
                <w:rFonts w:hint="eastAsia" w:ascii="宋体" w:hAnsi="宋体"/>
                <w:sz w:val="22"/>
                <w:szCs w:val="22"/>
              </w:rPr>
              <w:t>注：提供合同复印件并加盖投标人公章，否则不得分。</w:t>
            </w:r>
          </w:p>
        </w:tc>
        <w:tc>
          <w:tcPr>
            <w:tcW w:w="606" w:type="pct"/>
            <w:vAlign w:val="center"/>
          </w:tcPr>
          <w:p w14:paraId="41D718E5">
            <w:pPr>
              <w:jc w:val="center"/>
              <w:rPr>
                <w:rFonts w:ascii="宋体" w:hAnsi="宋体"/>
                <w:sz w:val="22"/>
                <w:szCs w:val="22"/>
              </w:rPr>
            </w:pPr>
            <w:r>
              <w:rPr>
                <w:rFonts w:ascii="宋体" w:hAnsi="宋体"/>
                <w:sz w:val="22"/>
                <w:szCs w:val="22"/>
              </w:rPr>
              <w:t>3</w:t>
            </w:r>
          </w:p>
        </w:tc>
      </w:tr>
      <w:tr w14:paraId="1B78E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800" w:type="pct"/>
            <w:vMerge w:val="restart"/>
            <w:vAlign w:val="center"/>
          </w:tcPr>
          <w:p w14:paraId="56128AD0">
            <w:pPr>
              <w:jc w:val="center"/>
              <w:rPr>
                <w:rFonts w:ascii="宋体" w:hAnsi="宋体"/>
                <w:b/>
                <w:bCs/>
                <w:sz w:val="22"/>
                <w:szCs w:val="22"/>
              </w:rPr>
            </w:pPr>
            <w:r>
              <w:rPr>
                <w:rFonts w:hint="eastAsia" w:ascii="宋体" w:hAnsi="宋体"/>
                <w:b/>
                <w:bCs/>
                <w:sz w:val="22"/>
                <w:szCs w:val="22"/>
              </w:rPr>
              <w:t>技术方案</w:t>
            </w:r>
          </w:p>
          <w:p w14:paraId="7236F054">
            <w:pPr>
              <w:jc w:val="center"/>
              <w:rPr>
                <w:rFonts w:ascii="宋体" w:hAnsi="宋体"/>
                <w:b/>
                <w:bCs/>
                <w:sz w:val="22"/>
                <w:szCs w:val="22"/>
              </w:rPr>
            </w:pPr>
          </w:p>
        </w:tc>
        <w:tc>
          <w:tcPr>
            <w:tcW w:w="3593" w:type="pct"/>
            <w:vAlign w:val="center"/>
          </w:tcPr>
          <w:p w14:paraId="7178ACD0">
            <w:pPr>
              <w:rPr>
                <w:rFonts w:ascii="宋体" w:hAnsi="宋体"/>
                <w:sz w:val="22"/>
                <w:szCs w:val="22"/>
              </w:rPr>
            </w:pPr>
            <w:r>
              <w:rPr>
                <w:rFonts w:hint="eastAsia" w:ascii="宋体" w:hAnsi="宋体"/>
                <w:sz w:val="22"/>
                <w:szCs w:val="22"/>
              </w:rPr>
              <w:t>根据对项目技术方案的完整性、科学性、合理性、可靠性等方面进行打分</w:t>
            </w:r>
          </w:p>
          <w:p w14:paraId="6051FB36">
            <w:pPr>
              <w:rPr>
                <w:rFonts w:ascii="宋体" w:hAnsi="宋体"/>
                <w:sz w:val="22"/>
                <w:szCs w:val="22"/>
              </w:rPr>
            </w:pPr>
            <w:r>
              <w:rPr>
                <w:rFonts w:hint="eastAsia" w:ascii="宋体" w:hAnsi="宋体"/>
                <w:sz w:val="22"/>
                <w:szCs w:val="22"/>
              </w:rPr>
              <w:t>好：11-15分；一般：6-10分；差：0-5分。</w:t>
            </w:r>
          </w:p>
        </w:tc>
        <w:tc>
          <w:tcPr>
            <w:tcW w:w="606" w:type="pct"/>
            <w:vAlign w:val="center"/>
          </w:tcPr>
          <w:p w14:paraId="6EB612F2">
            <w:pPr>
              <w:jc w:val="center"/>
              <w:rPr>
                <w:rFonts w:ascii="宋体" w:hAnsi="宋体"/>
                <w:sz w:val="22"/>
                <w:szCs w:val="22"/>
              </w:rPr>
            </w:pPr>
            <w:r>
              <w:rPr>
                <w:rFonts w:hint="eastAsia" w:ascii="宋体" w:hAnsi="宋体"/>
                <w:sz w:val="22"/>
                <w:szCs w:val="22"/>
              </w:rPr>
              <w:t>15</w:t>
            </w:r>
          </w:p>
        </w:tc>
      </w:tr>
      <w:tr w14:paraId="09FB0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800" w:type="pct"/>
            <w:vMerge w:val="continue"/>
            <w:vAlign w:val="center"/>
          </w:tcPr>
          <w:p w14:paraId="5330298F">
            <w:pPr>
              <w:jc w:val="center"/>
              <w:rPr>
                <w:rFonts w:ascii="宋体" w:hAnsi="宋体"/>
                <w:b/>
                <w:bCs/>
                <w:sz w:val="22"/>
                <w:szCs w:val="22"/>
              </w:rPr>
            </w:pPr>
          </w:p>
        </w:tc>
        <w:tc>
          <w:tcPr>
            <w:tcW w:w="3593" w:type="pct"/>
            <w:vAlign w:val="center"/>
          </w:tcPr>
          <w:p w14:paraId="6D17690B">
            <w:pPr>
              <w:rPr>
                <w:rFonts w:ascii="宋体" w:hAnsi="宋体"/>
                <w:sz w:val="22"/>
                <w:szCs w:val="22"/>
              </w:rPr>
            </w:pPr>
            <w:r>
              <w:rPr>
                <w:rFonts w:hint="eastAsia" w:ascii="宋体" w:hAnsi="宋体"/>
                <w:sz w:val="22"/>
                <w:szCs w:val="22"/>
              </w:rPr>
              <w:t>项目总体施工方案（包括实施流程计划、施工进度安排、人力资源安排、质量保证措施等）的针对性、合理性及完整程度等进行综合评分。好：6-8分；一般：3-5分；差：0-2分。</w:t>
            </w:r>
          </w:p>
        </w:tc>
        <w:tc>
          <w:tcPr>
            <w:tcW w:w="606" w:type="pct"/>
            <w:vAlign w:val="center"/>
          </w:tcPr>
          <w:p w14:paraId="025CE80E">
            <w:pPr>
              <w:jc w:val="center"/>
              <w:rPr>
                <w:rFonts w:ascii="宋体" w:hAnsi="宋体"/>
                <w:sz w:val="22"/>
                <w:szCs w:val="22"/>
              </w:rPr>
            </w:pPr>
            <w:r>
              <w:rPr>
                <w:rFonts w:hint="eastAsia" w:ascii="宋体" w:hAnsi="宋体"/>
                <w:sz w:val="22"/>
                <w:szCs w:val="22"/>
              </w:rPr>
              <w:t>8</w:t>
            </w:r>
          </w:p>
        </w:tc>
      </w:tr>
      <w:tr w14:paraId="53C31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800" w:type="pct"/>
            <w:vAlign w:val="center"/>
          </w:tcPr>
          <w:p w14:paraId="5BA32373">
            <w:pPr>
              <w:widowControl/>
              <w:jc w:val="center"/>
              <w:textAlignment w:val="center"/>
              <w:rPr>
                <w:rFonts w:ascii="宋体" w:hAnsi="宋体"/>
                <w:b/>
                <w:bCs/>
                <w:sz w:val="22"/>
                <w:szCs w:val="22"/>
              </w:rPr>
            </w:pPr>
            <w:r>
              <w:rPr>
                <w:rFonts w:hint="eastAsia" w:ascii="宋体" w:hAnsi="宋体"/>
                <w:b/>
                <w:bCs/>
                <w:sz w:val="22"/>
                <w:szCs w:val="22"/>
              </w:rPr>
              <w:t>应急处理方案</w:t>
            </w:r>
          </w:p>
        </w:tc>
        <w:tc>
          <w:tcPr>
            <w:tcW w:w="3593" w:type="pct"/>
            <w:vAlign w:val="center"/>
          </w:tcPr>
          <w:p w14:paraId="3C3A5190">
            <w:pPr>
              <w:widowControl/>
              <w:textAlignment w:val="top"/>
              <w:rPr>
                <w:rFonts w:ascii="宋体" w:hAnsi="宋体"/>
                <w:sz w:val="22"/>
                <w:szCs w:val="22"/>
              </w:rPr>
            </w:pPr>
            <w:r>
              <w:rPr>
                <w:rFonts w:hint="eastAsia" w:ascii="宋体" w:hAnsi="宋体"/>
                <w:sz w:val="22"/>
                <w:szCs w:val="22"/>
              </w:rPr>
              <w:t>对突发紧急事件处理能力，包含网络处理能力、故障处置、应急保障等应急解决能力，由专家评审，好：</w:t>
            </w:r>
            <w:r>
              <w:rPr>
                <w:rFonts w:ascii="宋体" w:hAnsi="宋体"/>
                <w:sz w:val="22"/>
                <w:szCs w:val="22"/>
              </w:rPr>
              <w:t>7</w:t>
            </w:r>
            <w:r>
              <w:rPr>
                <w:rFonts w:hint="eastAsia" w:ascii="宋体" w:hAnsi="宋体"/>
                <w:sz w:val="22"/>
                <w:szCs w:val="22"/>
              </w:rPr>
              <w:t>-</w:t>
            </w:r>
            <w:r>
              <w:rPr>
                <w:rFonts w:ascii="宋体" w:hAnsi="宋体"/>
                <w:sz w:val="22"/>
                <w:szCs w:val="22"/>
              </w:rPr>
              <w:t>9</w:t>
            </w:r>
            <w:r>
              <w:rPr>
                <w:rFonts w:hint="eastAsia" w:ascii="宋体" w:hAnsi="宋体"/>
                <w:sz w:val="22"/>
                <w:szCs w:val="22"/>
              </w:rPr>
              <w:t>分；一般：4-</w:t>
            </w:r>
            <w:r>
              <w:rPr>
                <w:rFonts w:ascii="宋体" w:hAnsi="宋体"/>
                <w:sz w:val="22"/>
                <w:szCs w:val="22"/>
              </w:rPr>
              <w:t>6</w:t>
            </w:r>
            <w:r>
              <w:rPr>
                <w:rFonts w:hint="eastAsia" w:ascii="宋体" w:hAnsi="宋体"/>
                <w:sz w:val="22"/>
                <w:szCs w:val="22"/>
              </w:rPr>
              <w:t>分；差：0-3分。</w:t>
            </w:r>
          </w:p>
        </w:tc>
        <w:tc>
          <w:tcPr>
            <w:tcW w:w="606" w:type="pct"/>
            <w:vAlign w:val="center"/>
          </w:tcPr>
          <w:p w14:paraId="1D45F9D2">
            <w:pPr>
              <w:widowControl/>
              <w:jc w:val="center"/>
              <w:textAlignment w:val="center"/>
              <w:rPr>
                <w:rFonts w:ascii="宋体" w:hAnsi="宋体"/>
                <w:sz w:val="22"/>
                <w:szCs w:val="22"/>
              </w:rPr>
            </w:pPr>
            <w:r>
              <w:rPr>
                <w:rFonts w:ascii="宋体" w:hAnsi="宋体"/>
                <w:sz w:val="22"/>
                <w:szCs w:val="22"/>
              </w:rPr>
              <w:t>9</w:t>
            </w:r>
          </w:p>
        </w:tc>
      </w:tr>
      <w:tr w14:paraId="613A8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800" w:type="pct"/>
            <w:vAlign w:val="center"/>
          </w:tcPr>
          <w:p w14:paraId="174EA90F">
            <w:pPr>
              <w:jc w:val="center"/>
              <w:rPr>
                <w:rFonts w:ascii="宋体" w:hAnsi="宋体"/>
                <w:b/>
                <w:bCs/>
                <w:sz w:val="22"/>
                <w:szCs w:val="22"/>
              </w:rPr>
            </w:pPr>
            <w:r>
              <w:rPr>
                <w:rFonts w:hint="eastAsia" w:ascii="宋体" w:hAnsi="宋体"/>
                <w:b/>
                <w:bCs/>
                <w:sz w:val="22"/>
                <w:szCs w:val="22"/>
              </w:rPr>
              <w:t>拟派服务团队配置</w:t>
            </w:r>
          </w:p>
        </w:tc>
        <w:tc>
          <w:tcPr>
            <w:tcW w:w="3593" w:type="pct"/>
            <w:vAlign w:val="center"/>
          </w:tcPr>
          <w:p w14:paraId="652B66A3">
            <w:pPr>
              <w:rPr>
                <w:rFonts w:ascii="宋体" w:hAnsi="宋体"/>
                <w:sz w:val="22"/>
                <w:szCs w:val="22"/>
              </w:rPr>
            </w:pPr>
            <w:r>
              <w:rPr>
                <w:rFonts w:hint="eastAsia" w:ascii="宋体" w:hAnsi="宋体"/>
                <w:sz w:val="22"/>
                <w:szCs w:val="22"/>
              </w:rPr>
              <w:t>1、拟投入项目负责人具有信息系统项目管理师证书、网络应用工程师、IT服务项目经理(ITSS)证书（或ITSS运维服务工程师证书）、通信工程师每有一本证书得1分，最高3分。</w:t>
            </w:r>
          </w:p>
          <w:p w14:paraId="4D0D7A5E">
            <w:pPr>
              <w:rPr>
                <w:rFonts w:ascii="宋体" w:hAnsi="宋体"/>
                <w:sz w:val="22"/>
                <w:szCs w:val="22"/>
              </w:rPr>
            </w:pPr>
            <w:r>
              <w:rPr>
                <w:rFonts w:hint="eastAsia" w:ascii="宋体" w:hAnsi="宋体"/>
                <w:sz w:val="22"/>
                <w:szCs w:val="22"/>
              </w:rPr>
              <w:t>2、拟投入技术负责人具备软件设计师证书、高级软件开发工程师证书、高级数据库管理工程师证书，每具备一个证书得1分，最高3分。</w:t>
            </w:r>
          </w:p>
          <w:p w14:paraId="7F5A0D6E">
            <w:pPr>
              <w:rPr>
                <w:rFonts w:ascii="宋体" w:hAnsi="宋体"/>
                <w:sz w:val="22"/>
                <w:szCs w:val="22"/>
              </w:rPr>
            </w:pPr>
            <w:r>
              <w:rPr>
                <w:rFonts w:hint="eastAsia" w:ascii="宋体" w:hAnsi="宋体"/>
                <w:sz w:val="22"/>
                <w:szCs w:val="22"/>
              </w:rPr>
              <w:t>3、投标人拟派服务团队（除项目负责人、技术负责人外）相关技能证书，一份得1分，同一人具有多个证书只能计一个，不能重复得分，最高得6分。</w:t>
            </w:r>
          </w:p>
        </w:tc>
        <w:tc>
          <w:tcPr>
            <w:tcW w:w="606" w:type="pct"/>
            <w:vAlign w:val="center"/>
          </w:tcPr>
          <w:p w14:paraId="4C815926">
            <w:pPr>
              <w:jc w:val="center"/>
              <w:rPr>
                <w:rFonts w:ascii="宋体" w:hAnsi="宋体"/>
                <w:sz w:val="22"/>
                <w:szCs w:val="22"/>
              </w:rPr>
            </w:pPr>
            <w:r>
              <w:rPr>
                <w:rFonts w:hint="eastAsia" w:ascii="宋体" w:hAnsi="宋体"/>
                <w:sz w:val="22"/>
                <w:szCs w:val="22"/>
              </w:rPr>
              <w:t>12</w:t>
            </w:r>
          </w:p>
        </w:tc>
      </w:tr>
      <w:tr w14:paraId="338EB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800" w:type="pct"/>
            <w:vAlign w:val="center"/>
          </w:tcPr>
          <w:p w14:paraId="24FBEADB">
            <w:pPr>
              <w:jc w:val="center"/>
              <w:rPr>
                <w:rFonts w:ascii="宋体" w:hAnsi="宋体"/>
                <w:sz w:val="22"/>
                <w:szCs w:val="22"/>
              </w:rPr>
            </w:pPr>
            <w:r>
              <w:rPr>
                <w:rFonts w:hint="eastAsia" w:ascii="宋体" w:hAnsi="宋体"/>
                <w:b/>
                <w:bCs/>
                <w:sz w:val="22"/>
                <w:szCs w:val="22"/>
              </w:rPr>
              <w:t>售后服务方案</w:t>
            </w:r>
          </w:p>
        </w:tc>
        <w:tc>
          <w:tcPr>
            <w:tcW w:w="3593" w:type="pct"/>
            <w:vAlign w:val="center"/>
          </w:tcPr>
          <w:p w14:paraId="1C5549DA">
            <w:pPr>
              <w:rPr>
                <w:rFonts w:ascii="宋体" w:hAnsi="宋体"/>
                <w:sz w:val="22"/>
                <w:szCs w:val="22"/>
              </w:rPr>
            </w:pPr>
            <w:r>
              <w:rPr>
                <w:rFonts w:hint="eastAsia" w:ascii="宋体" w:hAnsi="宋体" w:cs="宋体"/>
                <w:kern w:val="0"/>
                <w:sz w:val="22"/>
                <w:szCs w:val="22"/>
              </w:rPr>
              <w:t>根据供应商提供的售后服务方案(包括响应时间、到场时间和问题解决时长的情况、技术人员配置等)、售后服务承诺的可行性、完整性以及服务承诺落实的保障措施，维护期内外的后续技术支持和维护能力情况</w:t>
            </w:r>
            <w:r>
              <w:rPr>
                <w:rFonts w:hint="eastAsia" w:ascii="宋体" w:hAnsi="宋体"/>
                <w:sz w:val="22"/>
                <w:szCs w:val="22"/>
              </w:rPr>
              <w:t>等综合评价。好：7-9分；一般：4-6分；差0-3分。</w:t>
            </w:r>
          </w:p>
        </w:tc>
        <w:tc>
          <w:tcPr>
            <w:tcW w:w="606" w:type="pct"/>
            <w:vAlign w:val="center"/>
          </w:tcPr>
          <w:p w14:paraId="754492E3">
            <w:pPr>
              <w:jc w:val="center"/>
              <w:rPr>
                <w:rFonts w:ascii="宋体" w:hAnsi="宋体"/>
                <w:sz w:val="22"/>
                <w:szCs w:val="22"/>
              </w:rPr>
            </w:pPr>
            <w:r>
              <w:rPr>
                <w:rFonts w:hint="eastAsia" w:ascii="宋体" w:hAnsi="宋体"/>
                <w:sz w:val="22"/>
                <w:szCs w:val="22"/>
              </w:rPr>
              <w:t>9</w:t>
            </w:r>
          </w:p>
        </w:tc>
      </w:tr>
      <w:tr w14:paraId="456AE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800" w:type="pct"/>
            <w:vAlign w:val="center"/>
          </w:tcPr>
          <w:p w14:paraId="1A7CEA74">
            <w:pPr>
              <w:jc w:val="center"/>
              <w:rPr>
                <w:rFonts w:ascii="宋体" w:hAnsi="宋体"/>
                <w:sz w:val="22"/>
                <w:szCs w:val="22"/>
              </w:rPr>
            </w:pPr>
            <w:r>
              <w:rPr>
                <w:rFonts w:hint="eastAsia" w:ascii="宋体" w:hAnsi="宋体"/>
                <w:b/>
                <w:bCs/>
                <w:sz w:val="22"/>
                <w:szCs w:val="22"/>
              </w:rPr>
              <w:t>培训方案</w:t>
            </w:r>
          </w:p>
        </w:tc>
        <w:tc>
          <w:tcPr>
            <w:tcW w:w="3593" w:type="pct"/>
            <w:vAlign w:val="center"/>
          </w:tcPr>
          <w:p w14:paraId="063ABE8D">
            <w:pPr>
              <w:tabs>
                <w:tab w:val="left" w:pos="4320"/>
              </w:tabs>
              <w:rPr>
                <w:rFonts w:ascii="宋体" w:hAnsi="宋体"/>
                <w:sz w:val="22"/>
                <w:szCs w:val="22"/>
              </w:rPr>
            </w:pPr>
            <w:r>
              <w:rPr>
                <w:rFonts w:hint="eastAsia" w:ascii="宋体" w:hAnsi="宋体" w:cs="宋体"/>
                <w:kern w:val="0"/>
                <w:sz w:val="22"/>
                <w:szCs w:val="22"/>
              </w:rPr>
              <w:t>根据供应商提供针对本项目培训计划方案，提供系统使用指导，对系统使用人员进行指导培训工作是否科学、合理、有效等方面</w:t>
            </w:r>
            <w:r>
              <w:rPr>
                <w:rFonts w:hint="eastAsia" w:ascii="宋体" w:hAnsi="宋体"/>
                <w:sz w:val="22"/>
                <w:szCs w:val="22"/>
              </w:rPr>
              <w:t>综合评价。好：7-9分；一般：4-6分；差0-3分。</w:t>
            </w:r>
          </w:p>
        </w:tc>
        <w:tc>
          <w:tcPr>
            <w:tcW w:w="606" w:type="pct"/>
            <w:vAlign w:val="center"/>
          </w:tcPr>
          <w:p w14:paraId="75F9DBFD">
            <w:pPr>
              <w:jc w:val="center"/>
              <w:rPr>
                <w:rFonts w:ascii="宋体" w:hAnsi="宋体"/>
                <w:sz w:val="22"/>
                <w:szCs w:val="22"/>
              </w:rPr>
            </w:pPr>
            <w:r>
              <w:rPr>
                <w:rFonts w:hint="eastAsia" w:ascii="宋体" w:hAnsi="宋体"/>
                <w:sz w:val="22"/>
                <w:szCs w:val="22"/>
              </w:rPr>
              <w:t>9</w:t>
            </w:r>
          </w:p>
        </w:tc>
      </w:tr>
    </w:tbl>
    <w:p w14:paraId="6C4827C1">
      <w:pPr>
        <w:spacing w:line="360" w:lineRule="auto"/>
        <w:rPr>
          <w:rFonts w:asciiTheme="majorEastAsia" w:hAnsiTheme="majorEastAsia" w:eastAsiaTheme="majorEastAsia" w:cstheme="majorEastAsia"/>
          <w:sz w:val="24"/>
        </w:rPr>
      </w:pPr>
    </w:p>
    <w:p w14:paraId="0D67F59C">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备注：</w:t>
      </w:r>
    </w:p>
    <w:p w14:paraId="4531D35B">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评标依据以投标人商务技术文件中加盖有效公章的证书/证明文件复印件为准；</w:t>
      </w:r>
    </w:p>
    <w:p w14:paraId="4A1770B0">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业绩评分项，投标人须提供证明材料，证明材料以评标标准要求为准。评标委员会、采购机构在项目评审直至合同签订、履约期间，有权要求投标人出具投标文件中的合同文本原件，予以确认其的真实性和有效性，如出现与事实不符等情况，将根据有关规定以“提供虚假材料谋取中标”予以处理。</w:t>
      </w:r>
    </w:p>
    <w:p w14:paraId="2318282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投标人售后服务机构，应提交场地租赁协议、营业执照等证明材料。</w:t>
      </w:r>
    </w:p>
    <w:p w14:paraId="5C703D89">
      <w:pPr>
        <w:spacing w:line="360" w:lineRule="auto"/>
        <w:rPr>
          <w:rFonts w:asciiTheme="majorEastAsia" w:hAnsiTheme="majorEastAsia" w:eastAsiaTheme="majorEastAsia" w:cstheme="majorEastAsia"/>
          <w:sz w:val="24"/>
        </w:rPr>
      </w:pPr>
    </w:p>
    <w:p w14:paraId="21F4C235">
      <w:pPr>
        <w:spacing w:line="360" w:lineRule="auto"/>
        <w:rPr>
          <w:rFonts w:asciiTheme="majorEastAsia" w:hAnsiTheme="majorEastAsia" w:eastAsiaTheme="majorEastAsia" w:cstheme="majorEastAsia"/>
          <w:sz w:val="24"/>
        </w:rPr>
      </w:pPr>
    </w:p>
    <w:p w14:paraId="24DE488B">
      <w:pPr>
        <w:spacing w:line="360" w:lineRule="auto"/>
        <w:rPr>
          <w:rFonts w:asciiTheme="majorEastAsia" w:hAnsiTheme="majorEastAsia" w:eastAsiaTheme="majorEastAsia" w:cstheme="majorEastAsia"/>
          <w:sz w:val="24"/>
        </w:rPr>
      </w:pPr>
    </w:p>
    <w:p w14:paraId="15C9EDF2">
      <w:pPr>
        <w:spacing w:line="360" w:lineRule="auto"/>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2、商务评分30分（权值30%）：</w:t>
      </w:r>
    </w:p>
    <w:p w14:paraId="21DD73E1">
      <w:pPr>
        <w:spacing w:line="360" w:lineRule="auto"/>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满足招标文件要求且投标报价面值最低的投标报价为评标基准价，</w:t>
      </w:r>
      <w:r>
        <w:rPr>
          <w:rFonts w:hint="eastAsia" w:asciiTheme="minorEastAsia" w:hAnsiTheme="minorEastAsia"/>
          <w:b/>
          <w:bCs/>
          <w:color w:val="FF0000"/>
          <w:sz w:val="24"/>
          <w:u w:val="single"/>
        </w:rPr>
        <w:t>如报价低于所有投标人平均报价的50%时，需提供成本说明，否则视为无效投标。</w:t>
      </w:r>
      <w:r>
        <w:rPr>
          <w:rFonts w:hint="eastAsia" w:asciiTheme="majorEastAsia" w:hAnsiTheme="majorEastAsia" w:eastAsiaTheme="majorEastAsia" w:cstheme="majorEastAsia"/>
          <w:sz w:val="24"/>
        </w:rPr>
        <w:t>其余投标人投标报价与该基准价对比，计算出商务报价评分值（保留小数2位）：</w:t>
      </w:r>
    </w:p>
    <w:p w14:paraId="6A806D0B">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（1）有效投标人的投标报价等于评标基准价时其报价分为满分40分；</w:t>
      </w:r>
    </w:p>
    <w:p w14:paraId="64C53BB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（2）其他投标人的价格分按以下公式计算：</w:t>
      </w:r>
    </w:p>
    <w:p w14:paraId="0E1AE5A8">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投标报价得分=（评分基准价/投标人投标报价）× 价格权值 ×100（保留小数2位）</w:t>
      </w:r>
    </w:p>
    <w:p w14:paraId="4ED62A74">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（4）投标人所报总价不得超过预算金额，否则当无效标处理。</w:t>
      </w:r>
    </w:p>
    <w:p w14:paraId="28CF6CB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（三）综合得分（100分）（权值100%）</w:t>
      </w:r>
    </w:p>
    <w:p w14:paraId="712B17B5">
      <w:pPr>
        <w:spacing w:line="360" w:lineRule="auto"/>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pPr>
    </w:p>
    <w:p w14:paraId="6E6BF2FA">
      <w:r>
        <w:rPr>
          <w:rFonts w:hint="eastAsia" w:ascii="新宋体" w:hAnsi="新宋体" w:eastAsia="新宋体" w:cs="宋体"/>
          <w:b/>
          <w:bCs/>
          <w:kern w:val="0"/>
          <w:sz w:val="32"/>
          <w:szCs w:val="32"/>
        </w:rPr>
        <w:br w:type="page"/>
      </w:r>
    </w:p>
    <w:p w14:paraId="22D45BAC">
      <w:pPr>
        <w:rPr>
          <w:rFonts w:ascii="新宋体" w:hAnsi="新宋体" w:eastAsia="新宋体" w:cs="宋体"/>
          <w:b/>
          <w:bCs/>
          <w:kern w:val="0"/>
          <w:sz w:val="32"/>
          <w:szCs w:val="32"/>
        </w:rPr>
      </w:pPr>
    </w:p>
    <w:p w14:paraId="6185DE63">
      <w:pPr>
        <w:jc w:val="left"/>
        <w:rPr>
          <w:sz w:val="24"/>
        </w:rPr>
      </w:pPr>
      <w:r>
        <w:rPr>
          <w:rFonts w:hint="eastAsia"/>
          <w:sz w:val="24"/>
        </w:rPr>
        <w:t>附件一</w:t>
      </w:r>
    </w:p>
    <w:p w14:paraId="5ED3AB42">
      <w:pPr>
        <w:spacing w:line="460" w:lineRule="exact"/>
        <w:jc w:val="center"/>
        <w:outlineLvl w:val="3"/>
        <w:rPr>
          <w:rFonts w:ascii="宋体" w:hAnsi="宋体" w:cs="宋体"/>
          <w:bCs/>
          <w:szCs w:val="28"/>
          <w:lang w:val="zh-CN"/>
        </w:rPr>
      </w:pPr>
      <w:r>
        <w:rPr>
          <w:rFonts w:hint="eastAsia" w:ascii="宋体" w:hAnsi="宋体" w:cs="宋体"/>
          <w:b/>
          <w:bCs/>
          <w:sz w:val="28"/>
          <w:szCs w:val="28"/>
          <w:lang w:val="zh-CN"/>
        </w:rPr>
        <w:t>投标函</w:t>
      </w:r>
    </w:p>
    <w:p w14:paraId="2AA1F274">
      <w:pPr>
        <w:spacing w:line="460" w:lineRule="exact"/>
        <w:rPr>
          <w:rFonts w:ascii="宋体" w:hAnsi="宋体" w:cs="宋体"/>
          <w:sz w:val="22"/>
          <w:szCs w:val="22"/>
        </w:rPr>
      </w:pPr>
      <w:r>
        <w:rPr>
          <w:rFonts w:hint="eastAsia" w:ascii="宋体" w:hAnsi="宋体" w:cs="宋体"/>
          <w:sz w:val="22"/>
          <w:szCs w:val="22"/>
        </w:rPr>
        <w:t xml:space="preserve">             </w:t>
      </w:r>
    </w:p>
    <w:p w14:paraId="4D77AF9F">
      <w:pPr>
        <w:spacing w:line="460" w:lineRule="exact"/>
        <w:rPr>
          <w:rFonts w:ascii="新宋体" w:hAnsi="新宋体" w:eastAsia="新宋体" w:cs="新宋体"/>
          <w:sz w:val="22"/>
          <w:szCs w:val="22"/>
        </w:rPr>
      </w:pPr>
      <w:r>
        <w:rPr>
          <w:rFonts w:hint="eastAsia" w:ascii="新宋体" w:hAnsi="新宋体" w:eastAsia="新宋体" w:cs="新宋体"/>
          <w:sz w:val="22"/>
          <w:szCs w:val="22"/>
        </w:rPr>
        <w:t>致：温州市第七人民医院</w:t>
      </w:r>
    </w:p>
    <w:p w14:paraId="326ADF61">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根据贵方为</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项目的投标邀请，我方</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（投标人名称）作为投标人正式授权</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（授权代表全名，职务）代表我方处理有关本投标的一切事宜。</w:t>
      </w:r>
    </w:p>
    <w:p w14:paraId="47587200">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在此提交的投标文件中，包括如下内容，并已分别单独密封装袋：</w:t>
      </w:r>
    </w:p>
    <w:p w14:paraId="36268862">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（—）按“招标内容及要求”要求编制的投标文件技术标【正本一份，副本三份】；</w:t>
      </w:r>
    </w:p>
    <w:p w14:paraId="505F45F0">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（二）按“招标内容及要求”要求编制的投标文件商务标【正本一份，副本三份】</w:t>
      </w:r>
    </w:p>
    <w:p w14:paraId="0AD92E23">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我方己完全明白招标文件的所有条款要求，并重申以下几点：</w:t>
      </w:r>
    </w:p>
    <w:p w14:paraId="6A063178">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（一）本投标文件的有效期自投标截止日起</w:t>
      </w:r>
      <w:r>
        <w:rPr>
          <w:rFonts w:hint="eastAsia" w:ascii="新宋体" w:hAnsi="新宋体" w:eastAsia="新宋体" w:cs="新宋体"/>
          <w:b/>
          <w:sz w:val="22"/>
          <w:szCs w:val="22"/>
        </w:rPr>
        <w:t>120天内</w:t>
      </w:r>
      <w:r>
        <w:rPr>
          <w:rFonts w:hint="eastAsia" w:ascii="新宋体" w:hAnsi="新宋体" w:eastAsia="新宋体" w:cs="新宋体"/>
          <w:sz w:val="22"/>
          <w:szCs w:val="22"/>
        </w:rPr>
        <w:t>有效，如中标，有效期将延至合同终止日为止；</w:t>
      </w:r>
    </w:p>
    <w:p w14:paraId="7F253FF5">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（三）我方同意提供按照贵方可能要求的与投标有关的一切数据或资料；</w:t>
      </w:r>
    </w:p>
    <w:p w14:paraId="7D291FFA">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（四）我方理解贵方不一定接受最低报价。</w:t>
      </w:r>
    </w:p>
    <w:p w14:paraId="707D538F">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（六）所有与本投标有关的函件请发往下列地址：</w:t>
      </w:r>
    </w:p>
    <w:p w14:paraId="30D82067">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地址</w:t>
      </w:r>
      <w:r>
        <w:rPr>
          <w:rFonts w:hint="eastAsia" w:ascii="新宋体" w:hAnsi="新宋体" w:eastAsia="新宋体" w:cs="新宋体"/>
          <w:sz w:val="22"/>
          <w:szCs w:val="22"/>
          <w:u w:val="single"/>
        </w:rPr>
        <w:t xml:space="preserve">                           </w:t>
      </w:r>
    </w:p>
    <w:p w14:paraId="0344B9C3">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电话</w:t>
      </w:r>
      <w:r>
        <w:rPr>
          <w:rFonts w:hint="eastAsia" w:ascii="新宋体" w:hAnsi="新宋体" w:eastAsia="新宋体" w:cs="新宋体"/>
          <w:sz w:val="22"/>
          <w:szCs w:val="22"/>
          <w:u w:val="single"/>
        </w:rPr>
        <w:t xml:space="preserve">                           </w:t>
      </w:r>
    </w:p>
    <w:p w14:paraId="6732036B">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传真</w:t>
      </w:r>
      <w:r>
        <w:rPr>
          <w:rFonts w:hint="eastAsia" w:ascii="新宋体" w:hAnsi="新宋体" w:eastAsia="新宋体" w:cs="新宋体"/>
          <w:sz w:val="22"/>
          <w:szCs w:val="22"/>
          <w:u w:val="single"/>
        </w:rPr>
        <w:t xml:space="preserve">                           </w:t>
      </w:r>
    </w:p>
    <w:p w14:paraId="193AAAC2">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电子邮件</w:t>
      </w:r>
      <w:r>
        <w:rPr>
          <w:rFonts w:hint="eastAsia" w:ascii="新宋体" w:hAnsi="新宋体" w:eastAsia="新宋体" w:cs="新宋体"/>
          <w:sz w:val="22"/>
          <w:szCs w:val="22"/>
          <w:u w:val="single"/>
        </w:rPr>
        <w:t xml:space="preserve">                       </w:t>
      </w:r>
    </w:p>
    <w:p w14:paraId="346B6189">
      <w:pPr>
        <w:spacing w:line="420" w:lineRule="exact"/>
        <w:ind w:firstLine="435"/>
        <w:rPr>
          <w:rFonts w:ascii="新宋体" w:hAnsi="新宋体" w:eastAsia="新宋体" w:cs="新宋体"/>
          <w:sz w:val="22"/>
          <w:szCs w:val="22"/>
        </w:rPr>
      </w:pPr>
    </w:p>
    <w:p w14:paraId="4E2723AD">
      <w:pPr>
        <w:spacing w:line="420" w:lineRule="exact"/>
        <w:ind w:firstLine="435"/>
        <w:rPr>
          <w:rFonts w:ascii="新宋体" w:hAnsi="新宋体" w:eastAsia="新宋体" w:cs="新宋体"/>
          <w:sz w:val="22"/>
          <w:szCs w:val="22"/>
        </w:rPr>
      </w:pPr>
      <w:r>
        <w:rPr>
          <w:rFonts w:hint="eastAsia" w:ascii="新宋体" w:hAnsi="新宋体" w:eastAsia="新宋体" w:cs="新宋体"/>
          <w:sz w:val="22"/>
          <w:szCs w:val="22"/>
        </w:rPr>
        <w:t xml:space="preserve">                                   投标人名称（公章）</w:t>
      </w:r>
      <w:r>
        <w:rPr>
          <w:rFonts w:hint="eastAsia" w:ascii="新宋体" w:hAnsi="新宋体" w:eastAsia="新宋体" w:cs="新宋体"/>
          <w:sz w:val="22"/>
          <w:szCs w:val="22"/>
          <w:u w:val="single"/>
        </w:rPr>
        <w:t xml:space="preserve">                </w:t>
      </w:r>
    </w:p>
    <w:p w14:paraId="10E99368">
      <w:pPr>
        <w:spacing w:line="420" w:lineRule="exact"/>
        <w:ind w:firstLine="435"/>
        <w:rPr>
          <w:rFonts w:ascii="新宋体" w:hAnsi="新宋体" w:eastAsia="新宋体" w:cs="新宋体"/>
          <w:sz w:val="22"/>
          <w:szCs w:val="22"/>
        </w:rPr>
      </w:pPr>
      <w:r>
        <w:rPr>
          <w:rFonts w:hint="eastAsia" w:ascii="新宋体" w:hAnsi="新宋体" w:eastAsia="新宋体" w:cs="新宋体"/>
          <w:sz w:val="22"/>
          <w:szCs w:val="22"/>
        </w:rPr>
        <w:t xml:space="preserve">                                   投标人代表</w:t>
      </w:r>
      <w:r>
        <w:rPr>
          <w:rFonts w:hint="eastAsia" w:ascii="新宋体" w:hAnsi="新宋体" w:eastAsia="新宋体" w:cs="新宋体"/>
          <w:sz w:val="22"/>
          <w:szCs w:val="22"/>
          <w:u w:val="single"/>
        </w:rPr>
        <w:t xml:space="preserve">                        </w:t>
      </w:r>
    </w:p>
    <w:p w14:paraId="4D1DD5F1">
      <w:pPr>
        <w:spacing w:line="460" w:lineRule="exact"/>
        <w:ind w:firstLine="435"/>
        <w:rPr>
          <w:rFonts w:ascii="新宋体" w:hAnsi="新宋体" w:eastAsia="新宋体" w:cs="新宋体"/>
          <w:sz w:val="22"/>
          <w:szCs w:val="22"/>
          <w:u w:val="single"/>
        </w:rPr>
      </w:pPr>
      <w:r>
        <w:rPr>
          <w:rFonts w:hint="eastAsia" w:ascii="新宋体" w:hAnsi="新宋体" w:eastAsia="新宋体" w:cs="新宋体"/>
          <w:sz w:val="22"/>
          <w:szCs w:val="22"/>
        </w:rPr>
        <w:t xml:space="preserve">                                   日   期</w:t>
      </w:r>
      <w:r>
        <w:rPr>
          <w:rFonts w:hint="eastAsia" w:ascii="新宋体" w:hAnsi="新宋体" w:eastAsia="新宋体" w:cs="新宋体"/>
          <w:sz w:val="22"/>
          <w:szCs w:val="22"/>
          <w:u w:val="single"/>
        </w:rPr>
        <w:t xml:space="preserve">                           </w:t>
      </w:r>
    </w:p>
    <w:p w14:paraId="216B2244">
      <w:pPr>
        <w:spacing w:line="460" w:lineRule="exact"/>
        <w:ind w:firstLine="435"/>
        <w:rPr>
          <w:rFonts w:ascii="新宋体" w:hAnsi="新宋体" w:eastAsia="新宋体" w:cs="新宋体"/>
          <w:sz w:val="22"/>
          <w:szCs w:val="22"/>
          <w:u w:val="single"/>
        </w:rPr>
      </w:pPr>
    </w:p>
    <w:p w14:paraId="5128EF6A">
      <w:pPr>
        <w:spacing w:line="460" w:lineRule="exact"/>
        <w:ind w:firstLine="541" w:firstLineChars="245"/>
        <w:outlineLvl w:val="1"/>
        <w:rPr>
          <w:rFonts w:ascii="新宋体" w:hAnsi="新宋体" w:eastAsia="新宋体"/>
          <w:b/>
          <w:bCs/>
          <w:sz w:val="22"/>
          <w:szCs w:val="22"/>
        </w:rPr>
      </w:pPr>
    </w:p>
    <w:p w14:paraId="454A3B25">
      <w:pPr>
        <w:spacing w:line="460" w:lineRule="exact"/>
        <w:ind w:firstLine="541" w:firstLineChars="245"/>
        <w:outlineLvl w:val="1"/>
        <w:rPr>
          <w:rFonts w:ascii="新宋体" w:hAnsi="新宋体" w:eastAsia="新宋体"/>
          <w:b/>
          <w:bCs/>
          <w:sz w:val="22"/>
          <w:szCs w:val="22"/>
        </w:rPr>
      </w:pPr>
    </w:p>
    <w:p w14:paraId="5300FE25">
      <w:pPr>
        <w:spacing w:line="460" w:lineRule="exact"/>
        <w:ind w:firstLine="541" w:firstLineChars="245"/>
        <w:outlineLvl w:val="1"/>
        <w:rPr>
          <w:rFonts w:ascii="新宋体" w:hAnsi="新宋体" w:eastAsia="新宋体"/>
          <w:b/>
          <w:bCs/>
          <w:sz w:val="22"/>
          <w:szCs w:val="22"/>
        </w:rPr>
      </w:pPr>
    </w:p>
    <w:p w14:paraId="23558644">
      <w:pPr>
        <w:rPr>
          <w:rFonts w:ascii="新宋体" w:hAnsi="新宋体" w:eastAsia="新宋体"/>
          <w:b/>
          <w:bCs/>
          <w:sz w:val="22"/>
          <w:szCs w:val="22"/>
        </w:rPr>
      </w:pPr>
    </w:p>
    <w:p w14:paraId="72AF9F77">
      <w:pPr>
        <w:widowControl/>
        <w:spacing w:line="360" w:lineRule="auto"/>
        <w:jc w:val="left"/>
        <w:rPr>
          <w:sz w:val="24"/>
        </w:rPr>
      </w:pPr>
      <w:r>
        <w:rPr>
          <w:rFonts w:hint="eastAsia"/>
          <w:sz w:val="24"/>
        </w:rPr>
        <w:t>附件二：</w:t>
      </w:r>
    </w:p>
    <w:p w14:paraId="369AB066">
      <w:pPr>
        <w:widowControl/>
        <w:spacing w:line="360" w:lineRule="auto"/>
        <w:jc w:val="center"/>
        <w:rPr>
          <w:b/>
          <w:sz w:val="36"/>
          <w:szCs w:val="36"/>
        </w:rPr>
      </w:pPr>
      <w:r>
        <w:rPr>
          <w:rFonts w:hint="eastAsia"/>
          <w:b/>
          <w:sz w:val="36"/>
          <w:szCs w:val="36"/>
        </w:rPr>
        <w:t>法定代表人授权书</w:t>
      </w:r>
    </w:p>
    <w:p w14:paraId="7C88FA51">
      <w:pPr>
        <w:spacing w:line="360" w:lineRule="auto"/>
        <w:rPr>
          <w:rFonts w:ascii="新宋体" w:hAnsi="新宋体" w:eastAsia="新宋体"/>
          <w:sz w:val="24"/>
        </w:rPr>
      </w:pPr>
      <w:r>
        <w:rPr>
          <w:rFonts w:hint="eastAsia" w:ascii="新宋体" w:hAnsi="新宋体" w:eastAsia="新宋体"/>
          <w:sz w:val="24"/>
        </w:rPr>
        <w:t>温州市第七人民医院：</w:t>
      </w:r>
    </w:p>
    <w:p w14:paraId="6B6C9F46">
      <w:pPr>
        <w:spacing w:line="360" w:lineRule="auto"/>
        <w:ind w:firstLine="600" w:firstLineChars="250"/>
        <w:rPr>
          <w:rFonts w:ascii="新宋体" w:hAnsi="新宋体" w:eastAsia="新宋体"/>
          <w:sz w:val="24"/>
        </w:rPr>
      </w:pPr>
      <w:r>
        <w:rPr>
          <w:rFonts w:hint="eastAsia" w:ascii="新宋体" w:hAnsi="新宋体" w:eastAsia="新宋体"/>
          <w:sz w:val="24"/>
          <w:u w:val="single"/>
        </w:rPr>
        <w:t xml:space="preserve">             </w:t>
      </w:r>
      <w:r>
        <w:rPr>
          <w:rFonts w:hint="eastAsia" w:ascii="新宋体" w:hAnsi="新宋体" w:eastAsia="新宋体"/>
          <w:sz w:val="24"/>
        </w:rPr>
        <w:t>（投标人全称）法定代表人</w:t>
      </w:r>
      <w:r>
        <w:rPr>
          <w:rFonts w:hint="eastAsia" w:ascii="新宋体" w:hAnsi="新宋体" w:eastAsia="新宋体"/>
          <w:sz w:val="24"/>
          <w:u w:val="single"/>
        </w:rPr>
        <w:t xml:space="preserve">          （</w:t>
      </w:r>
      <w:r>
        <w:rPr>
          <w:rFonts w:hint="eastAsia" w:ascii="新宋体" w:hAnsi="新宋体" w:eastAsia="新宋体"/>
          <w:sz w:val="24"/>
        </w:rPr>
        <w:t>法定代表人姓名），身份证号：</w:t>
      </w:r>
      <w:r>
        <w:rPr>
          <w:rFonts w:hint="eastAsia" w:ascii="新宋体" w:hAnsi="新宋体" w:eastAsia="新宋体"/>
          <w:sz w:val="24"/>
          <w:u w:val="single"/>
        </w:rPr>
        <w:t xml:space="preserve">           </w:t>
      </w:r>
      <w:r>
        <w:rPr>
          <w:rFonts w:hint="eastAsia" w:ascii="新宋体" w:hAnsi="新宋体" w:eastAsia="新宋体"/>
          <w:sz w:val="24"/>
        </w:rPr>
        <w:t xml:space="preserve"> 授权</w:t>
      </w:r>
      <w:r>
        <w:rPr>
          <w:rFonts w:hint="eastAsia" w:ascii="新宋体" w:hAnsi="新宋体" w:eastAsia="新宋体"/>
          <w:sz w:val="24"/>
          <w:u w:val="single"/>
        </w:rPr>
        <w:t xml:space="preserve">         </w:t>
      </w:r>
      <w:r>
        <w:rPr>
          <w:rFonts w:hint="eastAsia" w:ascii="新宋体" w:hAnsi="新宋体" w:eastAsia="新宋体"/>
          <w:sz w:val="24"/>
        </w:rPr>
        <w:t>（全权代表姓名），身份证号：</w:t>
      </w:r>
      <w:r>
        <w:rPr>
          <w:rFonts w:hint="eastAsia" w:ascii="新宋体" w:hAnsi="新宋体" w:eastAsia="新宋体"/>
          <w:sz w:val="24"/>
          <w:u w:val="single"/>
        </w:rPr>
        <w:t xml:space="preserve">        </w:t>
      </w:r>
      <w:r>
        <w:rPr>
          <w:rFonts w:hint="eastAsia" w:ascii="新宋体" w:hAnsi="新宋体" w:eastAsia="新宋体"/>
          <w:sz w:val="24"/>
        </w:rPr>
        <w:t>为全权代表，参加贵单位组织的（</w:t>
      </w:r>
      <w:r>
        <w:rPr>
          <w:rFonts w:hint="eastAsia" w:ascii="新宋体" w:hAnsi="新宋体" w:eastAsia="新宋体"/>
          <w:sz w:val="24"/>
          <w:u w:val="single"/>
        </w:rPr>
        <w:t xml:space="preserve">                    </w:t>
      </w:r>
      <w:r>
        <w:rPr>
          <w:rFonts w:hint="eastAsia" w:ascii="新宋体" w:hAnsi="新宋体" w:eastAsia="新宋体"/>
          <w:sz w:val="24"/>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rPr>
      </w:pPr>
      <w:r>
        <w:rPr>
          <w:rFonts w:hint="eastAsia" w:ascii="新宋体" w:hAnsi="新宋体" w:eastAsia="新宋体"/>
          <w:sz w:val="24"/>
        </w:rPr>
        <w:t xml:space="preserve"> </w:t>
      </w:r>
    </w:p>
    <w:p w14:paraId="33D0BA8C">
      <w:pPr>
        <w:spacing w:line="360" w:lineRule="auto"/>
        <w:rPr>
          <w:rFonts w:ascii="新宋体" w:hAnsi="新宋体" w:eastAsia="新宋体"/>
          <w:sz w:val="24"/>
        </w:rPr>
      </w:pPr>
      <w:r>
        <w:rPr>
          <w:rFonts w:hint="eastAsia" w:ascii="新宋体" w:hAnsi="新宋体" w:eastAsia="新宋体"/>
          <w:sz w:val="24"/>
        </w:rPr>
        <w:t>法定代表人(签字或盖章)：</w:t>
      </w:r>
    </w:p>
    <w:p w14:paraId="773BC209">
      <w:pPr>
        <w:spacing w:line="360" w:lineRule="auto"/>
        <w:rPr>
          <w:rFonts w:ascii="新宋体" w:hAnsi="新宋体" w:eastAsia="新宋体"/>
          <w:sz w:val="24"/>
        </w:rPr>
      </w:pPr>
      <w:r>
        <w:rPr>
          <w:rFonts w:hint="eastAsia" w:ascii="新宋体" w:hAnsi="新宋体" w:eastAsia="新宋体"/>
          <w:sz w:val="24"/>
        </w:rPr>
        <w:t>投标人全称（公章）：</w:t>
      </w:r>
    </w:p>
    <w:p w14:paraId="01D81252">
      <w:pPr>
        <w:widowControl/>
        <w:spacing w:line="360" w:lineRule="auto"/>
        <w:jc w:val="left"/>
        <w:rPr>
          <w:sz w:val="24"/>
        </w:rPr>
      </w:pPr>
      <w:r>
        <w:rPr>
          <w:rFonts w:hint="eastAsia" w:ascii="新宋体" w:hAnsi="新宋体" w:eastAsia="新宋体"/>
          <w:sz w:val="24"/>
        </w:rPr>
        <w:t>日   期：</w:t>
      </w:r>
    </w:p>
    <w:p w14:paraId="4A3177FE">
      <w:pPr>
        <w:spacing w:line="360" w:lineRule="auto"/>
        <w:rPr>
          <w:rFonts w:ascii="新宋体" w:hAnsi="新宋体" w:eastAsia="新宋体"/>
          <w:sz w:val="24"/>
        </w:rPr>
      </w:pPr>
    </w:p>
    <w:p w14:paraId="27CEA21A">
      <w:pPr>
        <w:spacing w:line="360" w:lineRule="auto"/>
        <w:rPr>
          <w:rFonts w:ascii="新宋体" w:hAnsi="新宋体" w:eastAsia="新宋体"/>
          <w:sz w:val="24"/>
        </w:rPr>
      </w:pPr>
      <w:r>
        <w:rPr>
          <w:rFonts w:hint="eastAsia" w:ascii="新宋体" w:hAnsi="新宋体" w:eastAsia="新宋体"/>
          <w:sz w:val="24"/>
        </w:rPr>
        <w:t>法定代表人身份证复印件或扫描件（正反面）：</w:t>
      </w:r>
    </w:p>
    <w:p w14:paraId="5A7741B2">
      <w:pPr>
        <w:spacing w:line="360" w:lineRule="auto"/>
        <w:rPr>
          <w:rFonts w:ascii="新宋体" w:hAnsi="新宋体" w:eastAsia="新宋体"/>
          <w:sz w:val="24"/>
        </w:rPr>
      </w:pPr>
    </w:p>
    <w:p w14:paraId="27118B49">
      <w:pPr>
        <w:spacing w:line="360" w:lineRule="auto"/>
        <w:rPr>
          <w:rFonts w:ascii="新宋体" w:hAnsi="新宋体" w:eastAsia="新宋体"/>
          <w:sz w:val="24"/>
        </w:rPr>
      </w:pPr>
    </w:p>
    <w:p w14:paraId="5790E4F1">
      <w:pPr>
        <w:spacing w:line="360" w:lineRule="auto"/>
        <w:rPr>
          <w:rFonts w:ascii="新宋体" w:hAnsi="新宋体" w:eastAsia="新宋体"/>
          <w:sz w:val="24"/>
        </w:rPr>
      </w:pPr>
    </w:p>
    <w:p w14:paraId="2CA9F899">
      <w:pPr>
        <w:spacing w:line="360" w:lineRule="auto"/>
        <w:rPr>
          <w:rFonts w:ascii="新宋体" w:hAnsi="新宋体" w:eastAsia="新宋体"/>
          <w:sz w:val="24"/>
        </w:rPr>
      </w:pPr>
    </w:p>
    <w:p w14:paraId="46B7144A">
      <w:pPr>
        <w:spacing w:line="360" w:lineRule="auto"/>
        <w:rPr>
          <w:rFonts w:ascii="新宋体" w:hAnsi="新宋体" w:eastAsia="新宋体"/>
          <w:sz w:val="24"/>
        </w:rPr>
      </w:pPr>
    </w:p>
    <w:p w14:paraId="677A725C">
      <w:pPr>
        <w:spacing w:line="360" w:lineRule="auto"/>
        <w:rPr>
          <w:rFonts w:ascii="新宋体" w:hAnsi="新宋体" w:eastAsia="新宋体"/>
          <w:sz w:val="24"/>
        </w:rPr>
      </w:pPr>
    </w:p>
    <w:p w14:paraId="57F18827">
      <w:pPr>
        <w:spacing w:line="360" w:lineRule="auto"/>
        <w:rPr>
          <w:rFonts w:ascii="新宋体" w:hAnsi="新宋体" w:eastAsia="新宋体"/>
          <w:sz w:val="24"/>
        </w:rPr>
      </w:pPr>
    </w:p>
    <w:p w14:paraId="6971194A">
      <w:pPr>
        <w:spacing w:line="360" w:lineRule="auto"/>
        <w:rPr>
          <w:sz w:val="24"/>
        </w:rPr>
      </w:pPr>
      <w:r>
        <w:rPr>
          <w:rFonts w:hint="eastAsia" w:ascii="新宋体" w:hAnsi="新宋体" w:eastAsia="新宋体"/>
          <w:sz w:val="24"/>
        </w:rPr>
        <w:t>授权代表身份证复印件或扫描件（正反面）：</w:t>
      </w:r>
    </w:p>
    <w:p w14:paraId="214BF4E9">
      <w:pPr>
        <w:widowControl/>
        <w:spacing w:line="360" w:lineRule="auto"/>
        <w:jc w:val="left"/>
        <w:rPr>
          <w:sz w:val="24"/>
        </w:rPr>
      </w:pPr>
    </w:p>
    <w:p w14:paraId="53A5B5AD">
      <w:pPr>
        <w:widowControl/>
        <w:spacing w:line="360" w:lineRule="auto"/>
        <w:jc w:val="left"/>
        <w:rPr>
          <w:sz w:val="24"/>
        </w:rPr>
      </w:pPr>
    </w:p>
    <w:p w14:paraId="7C545947">
      <w:pPr>
        <w:widowControl/>
        <w:spacing w:line="360" w:lineRule="auto"/>
        <w:jc w:val="left"/>
        <w:rPr>
          <w:sz w:val="24"/>
        </w:rPr>
      </w:pPr>
    </w:p>
    <w:p w14:paraId="63A267B8">
      <w:pPr>
        <w:widowControl/>
        <w:spacing w:line="360" w:lineRule="auto"/>
        <w:jc w:val="left"/>
        <w:rPr>
          <w:sz w:val="24"/>
        </w:rPr>
      </w:pPr>
      <w:r>
        <w:rPr>
          <w:sz w:val="24"/>
        </w:rPr>
        <w:br w:type="page"/>
      </w:r>
      <w:r>
        <w:rPr>
          <w:rFonts w:hint="eastAsia"/>
          <w:sz w:val="24"/>
        </w:rPr>
        <w:t>附件三：</w:t>
      </w:r>
    </w:p>
    <w:p w14:paraId="7AEA4377">
      <w:pPr>
        <w:adjustRightInd w:val="0"/>
        <w:snapToGrid w:val="0"/>
        <w:spacing w:line="360" w:lineRule="auto"/>
        <w:jc w:val="center"/>
        <w:rPr>
          <w:b/>
          <w:sz w:val="36"/>
          <w:szCs w:val="36"/>
        </w:rPr>
      </w:pPr>
      <w:r>
        <w:rPr>
          <w:b/>
          <w:sz w:val="36"/>
          <w:szCs w:val="36"/>
        </w:rPr>
        <w:t>采购要求响应表</w:t>
      </w:r>
    </w:p>
    <w:p w14:paraId="1411E3C2">
      <w:pPr>
        <w:adjustRightInd w:val="0"/>
        <w:spacing w:line="360" w:lineRule="auto"/>
        <w:rPr>
          <w:spacing w:val="20"/>
          <w:sz w:val="24"/>
        </w:rPr>
      </w:pPr>
      <w:r>
        <w:rPr>
          <w:sz w:val="24"/>
        </w:rPr>
        <w:t>项目名称：</w:t>
      </w:r>
      <w:r>
        <w:rPr>
          <w:sz w:val="24"/>
          <w:u w:val="single"/>
        </w:rPr>
        <w:t xml:space="preserve">                        </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adjustRightInd w:val="0"/>
              <w:spacing w:line="360" w:lineRule="auto"/>
              <w:jc w:val="center"/>
              <w:rPr>
                <w:sz w:val="24"/>
              </w:rPr>
            </w:pPr>
            <w:r>
              <w:rPr>
                <w:sz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adjustRightInd w:val="0"/>
              <w:spacing w:line="360" w:lineRule="auto"/>
              <w:jc w:val="center"/>
              <w:rPr>
                <w:sz w:val="24"/>
              </w:rPr>
            </w:pPr>
            <w:r>
              <w:rPr>
                <w:rFonts w:hint="eastAsia"/>
                <w:sz w:val="24"/>
              </w:rPr>
              <w:t>比选</w:t>
            </w:r>
            <w:r>
              <w:rPr>
                <w:sz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adjustRightInd w:val="0"/>
              <w:spacing w:line="360" w:lineRule="auto"/>
              <w:jc w:val="center"/>
              <w:rPr>
                <w:sz w:val="24"/>
              </w:rPr>
            </w:pPr>
            <w:r>
              <w:rPr>
                <w:sz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adjustRightInd w:val="0"/>
              <w:spacing w:line="360" w:lineRule="auto"/>
              <w:jc w:val="center"/>
              <w:rPr>
                <w:sz w:val="24"/>
              </w:rPr>
            </w:pPr>
            <w:r>
              <w:rPr>
                <w:sz w:val="24"/>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adjustRightInd w:val="0"/>
              <w:spacing w:line="360" w:lineRule="auto"/>
              <w:jc w:val="center"/>
              <w:rPr>
                <w:sz w:val="24"/>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adjustRightInd w:val="0"/>
              <w:spacing w:line="360" w:lineRule="auto"/>
              <w:jc w:val="center"/>
              <w:rPr>
                <w:sz w:val="24"/>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adjustRightInd w:val="0"/>
              <w:spacing w:line="360" w:lineRule="auto"/>
              <w:jc w:val="center"/>
              <w:rPr>
                <w:sz w:val="24"/>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adjustRightInd w:val="0"/>
              <w:spacing w:line="360" w:lineRule="auto"/>
              <w:jc w:val="center"/>
              <w:rPr>
                <w:sz w:val="24"/>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adjustRightInd w:val="0"/>
              <w:spacing w:line="360" w:lineRule="auto"/>
              <w:jc w:val="center"/>
              <w:rPr>
                <w:sz w:val="24"/>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adjustRightInd w:val="0"/>
              <w:spacing w:line="360" w:lineRule="auto"/>
              <w:jc w:val="center"/>
              <w:rPr>
                <w:sz w:val="24"/>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adjustRightInd w:val="0"/>
              <w:spacing w:line="360" w:lineRule="auto"/>
              <w:jc w:val="center"/>
              <w:rPr>
                <w:sz w:val="24"/>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adjustRightInd w:val="0"/>
              <w:spacing w:line="360" w:lineRule="auto"/>
              <w:jc w:val="center"/>
              <w:rPr>
                <w:sz w:val="24"/>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adjustRightInd w:val="0"/>
              <w:spacing w:line="360" w:lineRule="auto"/>
              <w:jc w:val="center"/>
              <w:rPr>
                <w:sz w:val="24"/>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adjustRightInd w:val="0"/>
              <w:spacing w:line="360" w:lineRule="auto"/>
              <w:jc w:val="center"/>
              <w:rPr>
                <w:sz w:val="24"/>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adjustRightInd w:val="0"/>
              <w:spacing w:line="360" w:lineRule="auto"/>
              <w:jc w:val="center"/>
              <w:rPr>
                <w:sz w:val="24"/>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adjustRightInd w:val="0"/>
              <w:spacing w:line="360" w:lineRule="auto"/>
              <w:jc w:val="center"/>
              <w:rPr>
                <w:sz w:val="24"/>
              </w:rPr>
            </w:pPr>
            <w:r>
              <w:rPr>
                <w:sz w:val="24"/>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adjustRightInd w:val="0"/>
              <w:spacing w:line="360" w:lineRule="auto"/>
              <w:jc w:val="center"/>
              <w:rPr>
                <w:sz w:val="24"/>
              </w:rPr>
            </w:pPr>
          </w:p>
        </w:tc>
      </w:tr>
    </w:tbl>
    <w:p w14:paraId="627FC90B">
      <w:pPr>
        <w:adjustRightInd w:val="0"/>
        <w:snapToGrid w:val="0"/>
        <w:spacing w:before="50" w:after="50" w:line="360" w:lineRule="auto"/>
        <w:rPr>
          <w:b/>
          <w:bCs/>
          <w:sz w:val="24"/>
        </w:rPr>
      </w:pPr>
      <w:r>
        <w:rPr>
          <w:b/>
          <w:bCs/>
          <w:sz w:val="24"/>
        </w:rPr>
        <w:t>注：</w:t>
      </w:r>
    </w:p>
    <w:p w14:paraId="4F0B6463">
      <w:pPr>
        <w:numPr>
          <w:ilvl w:val="1"/>
          <w:numId w:val="5"/>
        </w:numPr>
        <w:tabs>
          <w:tab w:val="left" w:pos="540"/>
        </w:tabs>
        <w:adjustRightInd w:val="0"/>
        <w:snapToGrid w:val="0"/>
        <w:spacing w:before="50" w:after="50" w:line="360" w:lineRule="auto"/>
        <w:ind w:left="540" w:hanging="540"/>
        <w:rPr>
          <w:b/>
          <w:bCs/>
          <w:sz w:val="24"/>
        </w:rPr>
      </w:pPr>
      <w:r>
        <w:rPr>
          <w:b/>
          <w:bCs/>
          <w:sz w:val="24"/>
        </w:rPr>
        <w:t>投标人应根据投标设备的性能指标、对照</w:t>
      </w:r>
      <w:r>
        <w:rPr>
          <w:rFonts w:hint="eastAsia"/>
          <w:b/>
          <w:bCs/>
          <w:sz w:val="24"/>
        </w:rPr>
        <w:t>比选</w:t>
      </w:r>
      <w:r>
        <w:rPr>
          <w:b/>
          <w:bCs/>
          <w:sz w:val="24"/>
        </w:rPr>
        <w:t>文件要求一一对应如实填写技术响应表，在“偏离情况”栏注明“正偏离”、“负偏离”或“无偏离”。未按要求填写的，有可能作负偏离处理。</w:t>
      </w:r>
    </w:p>
    <w:p w14:paraId="6F452D3E">
      <w:pPr>
        <w:adjustRightInd w:val="0"/>
        <w:snapToGrid w:val="0"/>
        <w:spacing w:before="50" w:after="50" w:line="360" w:lineRule="auto"/>
        <w:rPr>
          <w:b/>
          <w:bCs/>
          <w:sz w:val="24"/>
        </w:rPr>
      </w:pPr>
    </w:p>
    <w:p w14:paraId="26DB728B">
      <w:pPr>
        <w:adjustRightInd w:val="0"/>
        <w:snapToGrid w:val="0"/>
        <w:spacing w:before="50" w:after="50" w:line="360" w:lineRule="auto"/>
        <w:rPr>
          <w:b/>
          <w:bCs/>
          <w:sz w:val="24"/>
        </w:rPr>
      </w:pPr>
    </w:p>
    <w:p w14:paraId="53886E05">
      <w:pPr>
        <w:adjustRightInd w:val="0"/>
        <w:snapToGrid w:val="0"/>
        <w:spacing w:before="50" w:after="156" w:afterLines="50" w:line="360" w:lineRule="auto"/>
        <w:jc w:val="left"/>
        <w:rPr>
          <w:sz w:val="24"/>
        </w:rPr>
      </w:pPr>
      <w:r>
        <w:rPr>
          <w:b/>
          <w:bCs/>
          <w:sz w:val="24"/>
        </w:rPr>
        <w:t>投标人签章：</w:t>
      </w:r>
      <w:r>
        <w:rPr>
          <w:spacing w:val="20"/>
          <w:sz w:val="24"/>
          <w:u w:val="single"/>
        </w:rPr>
        <w:t xml:space="preserve">            </w:t>
      </w:r>
      <w:r>
        <w:rPr>
          <w:spacing w:val="20"/>
          <w:sz w:val="24"/>
        </w:rPr>
        <w:t xml:space="preserve">              </w:t>
      </w:r>
      <w:r>
        <w:rPr>
          <w:b/>
          <w:bCs/>
          <w:sz w:val="24"/>
        </w:rPr>
        <w:t>日 期：</w:t>
      </w:r>
      <w:r>
        <w:rPr>
          <w:spacing w:val="20"/>
          <w:sz w:val="24"/>
          <w:u w:val="single"/>
        </w:rPr>
        <w:t xml:space="preserve">          </w:t>
      </w:r>
    </w:p>
    <w:p w14:paraId="0600FAA1">
      <w:pPr>
        <w:rPr>
          <w:sz w:val="24"/>
        </w:rPr>
      </w:pPr>
    </w:p>
    <w:p w14:paraId="70A6AAE3">
      <w:pPr>
        <w:rPr>
          <w:rFonts w:ascii="新宋体" w:hAnsi="新宋体" w:eastAsia="新宋体"/>
          <w:b/>
          <w:bCs/>
          <w:sz w:val="22"/>
          <w:szCs w:val="22"/>
        </w:rPr>
      </w:pPr>
      <w:r>
        <w:rPr>
          <w:rFonts w:hint="eastAsia" w:ascii="新宋体" w:hAnsi="新宋体" w:eastAsia="新宋体"/>
          <w:b/>
          <w:bCs/>
          <w:sz w:val="22"/>
          <w:szCs w:val="22"/>
        </w:rPr>
        <w:br w:type="page"/>
      </w:r>
    </w:p>
    <w:p w14:paraId="03CE05EF">
      <w:pPr>
        <w:outlineLvl w:val="1"/>
        <w:rPr>
          <w:rFonts w:ascii="新宋体" w:hAnsi="新宋体" w:eastAsia="新宋体"/>
          <w:sz w:val="24"/>
        </w:rPr>
      </w:pPr>
      <w:r>
        <w:rPr>
          <w:rFonts w:hint="eastAsia" w:ascii="新宋体" w:hAnsi="新宋体" w:eastAsia="新宋体"/>
          <w:sz w:val="24"/>
        </w:rPr>
        <w:t>附件四</w:t>
      </w:r>
    </w:p>
    <w:p w14:paraId="3DB2CB75">
      <w:pPr>
        <w:ind w:left="143" w:leftChars="68"/>
        <w:jc w:val="center"/>
        <w:outlineLvl w:val="2"/>
        <w:rPr>
          <w:rFonts w:ascii="新宋体" w:hAnsi="新宋体" w:eastAsia="新宋体"/>
          <w:b/>
          <w:sz w:val="28"/>
          <w:szCs w:val="28"/>
        </w:rPr>
      </w:pPr>
      <w:r>
        <w:rPr>
          <w:rFonts w:hint="eastAsia" w:ascii="新宋体" w:hAnsi="新宋体" w:eastAsia="新宋体"/>
          <w:b/>
          <w:sz w:val="28"/>
          <w:szCs w:val="28"/>
        </w:rPr>
        <w:t xml:space="preserve">服务方案 </w:t>
      </w:r>
    </w:p>
    <w:p w14:paraId="7AC6A3EC">
      <w:pPr>
        <w:autoSpaceDE w:val="0"/>
        <w:autoSpaceDN w:val="0"/>
        <w:ind w:right="893" w:firstLine="418"/>
        <w:textAlignment w:val="bottom"/>
        <w:rPr>
          <w:rFonts w:ascii="新宋体" w:hAnsi="新宋体" w:eastAsia="新宋体"/>
        </w:rPr>
      </w:pPr>
      <w:r>
        <w:rPr>
          <w:rFonts w:hint="eastAsia" w:ascii="新宋体" w:hAnsi="新宋体" w:eastAsia="新宋体"/>
          <w:b/>
          <w:sz w:val="22"/>
        </w:rPr>
        <w:t>项目名称：                                           项目编号：</w:t>
      </w:r>
      <w:r>
        <w:rPr>
          <w:rFonts w:hint="eastAsia" w:ascii="新宋体" w:hAnsi="新宋体" w:eastAsia="新宋体"/>
        </w:rPr>
        <w:t xml:space="preserve"> </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vAlign w:val="center"/>
          </w:tcPr>
          <w:p w14:paraId="50589785">
            <w:pPr>
              <w:pStyle w:val="26"/>
              <w:spacing w:after="0"/>
              <w:jc w:val="center"/>
              <w:rPr>
                <w:rFonts w:ascii="新宋体" w:hAnsi="新宋体" w:eastAsia="新宋体"/>
              </w:rPr>
            </w:pPr>
          </w:p>
        </w:tc>
      </w:tr>
    </w:tbl>
    <w:p w14:paraId="252E88CC">
      <w:pPr>
        <w:rPr>
          <w:rFonts w:ascii="新宋体" w:hAnsi="新宋体" w:eastAsia="新宋体"/>
          <w:sz w:val="22"/>
          <w:szCs w:val="22"/>
          <w:lang w:val="zh-CN"/>
        </w:rPr>
      </w:pPr>
      <w:r>
        <w:rPr>
          <w:rFonts w:hint="eastAsia" w:ascii="新宋体" w:hAnsi="新宋体" w:eastAsia="新宋体"/>
          <w:sz w:val="28"/>
        </w:rPr>
        <w:t xml:space="preserve">  </w:t>
      </w:r>
    </w:p>
    <w:p w14:paraId="48798E9F">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投标人全称（盖章）：</w:t>
      </w:r>
    </w:p>
    <w:p w14:paraId="1A2C1EF0">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投标人代表（签字）：</w:t>
      </w:r>
    </w:p>
    <w:p w14:paraId="00B275BE">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 xml:space="preserve">日  期： </w:t>
      </w:r>
    </w:p>
    <w:p w14:paraId="42B66FF5">
      <w:pPr>
        <w:spacing w:line="380" w:lineRule="exact"/>
        <w:outlineLvl w:val="1"/>
        <w:rPr>
          <w:rFonts w:ascii="新宋体" w:hAnsi="新宋体" w:eastAsia="新宋体"/>
          <w:b/>
          <w:bCs/>
          <w:sz w:val="22"/>
          <w:szCs w:val="22"/>
        </w:rPr>
      </w:pPr>
    </w:p>
    <w:p w14:paraId="1501E205">
      <w:pPr>
        <w:spacing w:line="380" w:lineRule="exact"/>
        <w:outlineLvl w:val="1"/>
        <w:rPr>
          <w:rFonts w:ascii="新宋体" w:hAnsi="新宋体" w:eastAsia="新宋体"/>
          <w:b/>
          <w:bCs/>
          <w:sz w:val="22"/>
          <w:szCs w:val="22"/>
        </w:rPr>
      </w:pPr>
    </w:p>
    <w:p w14:paraId="27ABC4AC">
      <w:pPr>
        <w:spacing w:line="360" w:lineRule="auto"/>
        <w:jc w:val="left"/>
        <w:rPr>
          <w:rFonts w:ascii="宋体" w:hAnsi="宋体" w:cs="Courier New"/>
          <w:b/>
          <w:bCs/>
          <w:sz w:val="24"/>
        </w:rPr>
      </w:pPr>
      <w:r>
        <w:rPr>
          <w:rFonts w:hint="eastAsia" w:ascii="宋体" w:hAnsi="宋体" w:cs="Courier New"/>
          <w:bCs/>
          <w:sz w:val="24"/>
        </w:rPr>
        <w:t>附件五：</w:t>
      </w:r>
    </w:p>
    <w:p w14:paraId="5DF971BD">
      <w:pPr>
        <w:spacing w:line="360" w:lineRule="auto"/>
        <w:jc w:val="center"/>
        <w:rPr>
          <w:rFonts w:ascii="宋体" w:hAnsi="宋体" w:cs="Courier New"/>
          <w:b/>
          <w:bCs/>
          <w:sz w:val="36"/>
          <w:szCs w:val="36"/>
        </w:rPr>
      </w:pPr>
      <w:r>
        <w:rPr>
          <w:rFonts w:hint="eastAsia" w:ascii="宋体" w:hAnsi="宋体" w:cs="Courier New"/>
          <w:b/>
          <w:bCs/>
          <w:sz w:val="36"/>
          <w:szCs w:val="36"/>
        </w:rPr>
        <w:t>投标报价单</w:t>
      </w:r>
    </w:p>
    <w:p w14:paraId="5CB4916A">
      <w:pPr>
        <w:spacing w:line="360" w:lineRule="auto"/>
        <w:rPr>
          <w:rFonts w:ascii="宋体" w:hAnsi="宋体"/>
          <w:b/>
          <w:bCs/>
          <w:sz w:val="24"/>
        </w:rPr>
      </w:pPr>
      <w:r>
        <w:rPr>
          <w:rFonts w:hint="eastAsia" w:ascii="宋体" w:hAnsi="宋体" w:cs="Arial"/>
          <w:sz w:val="24"/>
        </w:rPr>
        <w:t>项目名称</w:t>
      </w:r>
      <w:r>
        <w:rPr>
          <w:rFonts w:ascii="宋体" w:hAnsi="宋体" w:cs="Arial"/>
          <w:sz w:val="24"/>
        </w:rPr>
        <w:t xml:space="preserve">：   </w:t>
      </w:r>
      <w:r>
        <w:rPr>
          <w:rFonts w:ascii="宋体" w:hAnsi="宋体" w:cs="Arial"/>
          <w:bCs/>
          <w:sz w:val="24"/>
        </w:rPr>
        <w:t xml:space="preserve">        </w:t>
      </w:r>
      <w:r>
        <w:rPr>
          <w:rFonts w:hint="eastAsia" w:ascii="宋体" w:hAnsi="宋体" w:cs="Arial"/>
          <w:sz w:val="24"/>
        </w:rPr>
        <w:t xml:space="preserve">                  </w:t>
      </w:r>
      <w:r>
        <w:rPr>
          <w:rFonts w:ascii="宋体" w:hAnsi="宋体" w:cs="Arial"/>
          <w:sz w:val="24"/>
        </w:rPr>
        <w:t>（价格单位：人民币元）</w:t>
      </w:r>
    </w:p>
    <w:tbl>
      <w:tblPr>
        <w:tblStyle w:val="19"/>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rPr>
            </w:pPr>
            <w:r>
              <w:rPr>
                <w:rFonts w:hint="eastAsia" w:ascii="宋体" w:hAnsi="宋体" w:cs="hakuyoxingshu7000"/>
                <w:b/>
                <w:bCs/>
                <w:sz w:val="24"/>
              </w:rPr>
              <w:t>序号</w:t>
            </w:r>
          </w:p>
        </w:tc>
        <w:tc>
          <w:tcPr>
            <w:tcW w:w="1008" w:type="dxa"/>
            <w:vAlign w:val="center"/>
          </w:tcPr>
          <w:p w14:paraId="436A6EF8">
            <w:pPr>
              <w:spacing w:line="360" w:lineRule="auto"/>
              <w:jc w:val="center"/>
              <w:rPr>
                <w:rFonts w:ascii="宋体" w:hAnsi="宋体" w:cs="hakuyoxingshu7000"/>
                <w:b/>
                <w:bCs/>
                <w:sz w:val="24"/>
              </w:rPr>
            </w:pPr>
            <w:r>
              <w:rPr>
                <w:rFonts w:hint="eastAsia" w:ascii="宋体" w:hAnsi="宋体" w:cs="hakuyoxingshu7000"/>
                <w:b/>
                <w:bCs/>
                <w:sz w:val="24"/>
              </w:rPr>
              <w:t>项目内容</w:t>
            </w:r>
          </w:p>
        </w:tc>
        <w:tc>
          <w:tcPr>
            <w:tcW w:w="2304" w:type="dxa"/>
            <w:vAlign w:val="center"/>
          </w:tcPr>
          <w:p w14:paraId="1C89820E">
            <w:pPr>
              <w:spacing w:line="360" w:lineRule="auto"/>
              <w:jc w:val="center"/>
              <w:rPr>
                <w:rFonts w:ascii="宋体" w:hAnsi="宋体" w:cs="hakuyoxingshu7000"/>
                <w:b/>
                <w:bCs/>
                <w:sz w:val="24"/>
              </w:rPr>
            </w:pPr>
            <w:r>
              <w:rPr>
                <w:rFonts w:hint="eastAsia" w:ascii="宋体" w:hAnsi="宋体" w:cs="hakuyoxingshu7000"/>
                <w:b/>
                <w:bCs/>
                <w:sz w:val="24"/>
              </w:rPr>
              <w:t>品牌、型号、规格</w:t>
            </w:r>
          </w:p>
        </w:tc>
        <w:tc>
          <w:tcPr>
            <w:tcW w:w="1525" w:type="dxa"/>
            <w:vAlign w:val="center"/>
          </w:tcPr>
          <w:p w14:paraId="245C41C5">
            <w:pPr>
              <w:spacing w:line="360" w:lineRule="auto"/>
              <w:jc w:val="center"/>
              <w:rPr>
                <w:rFonts w:ascii="宋体" w:hAnsi="宋体" w:cs="hakuyoxingshu7000"/>
                <w:b/>
                <w:bCs/>
                <w:sz w:val="24"/>
              </w:rPr>
            </w:pPr>
            <w:r>
              <w:rPr>
                <w:rFonts w:hint="eastAsia" w:ascii="宋体" w:hAnsi="宋体" w:cs="hakuyoxingshu7000"/>
                <w:b/>
                <w:bCs/>
                <w:sz w:val="24"/>
              </w:rPr>
              <w:t>数量</w:t>
            </w:r>
          </w:p>
        </w:tc>
        <w:tc>
          <w:tcPr>
            <w:tcW w:w="1491" w:type="dxa"/>
            <w:vAlign w:val="center"/>
          </w:tcPr>
          <w:p w14:paraId="3E15C47B">
            <w:pPr>
              <w:spacing w:line="360" w:lineRule="auto"/>
              <w:jc w:val="center"/>
              <w:rPr>
                <w:rFonts w:ascii="宋体" w:hAnsi="宋体" w:cs="hakuyoxingshu7000"/>
                <w:b/>
                <w:bCs/>
                <w:sz w:val="24"/>
              </w:rPr>
            </w:pPr>
            <w:r>
              <w:rPr>
                <w:rFonts w:hint="eastAsia" w:ascii="宋体" w:hAnsi="宋体" w:cs="hakuyoxingshu7000"/>
                <w:b/>
                <w:bCs/>
                <w:sz w:val="24"/>
              </w:rPr>
              <w:t>单价</w:t>
            </w:r>
          </w:p>
        </w:tc>
        <w:tc>
          <w:tcPr>
            <w:tcW w:w="1458" w:type="dxa"/>
            <w:vAlign w:val="center"/>
          </w:tcPr>
          <w:p w14:paraId="23F99DD1">
            <w:pPr>
              <w:spacing w:line="360" w:lineRule="auto"/>
              <w:jc w:val="center"/>
              <w:rPr>
                <w:rFonts w:ascii="宋体" w:hAnsi="宋体" w:cs="hakuyoxingshu7000"/>
                <w:b/>
                <w:bCs/>
                <w:sz w:val="24"/>
              </w:rPr>
            </w:pPr>
            <w:r>
              <w:rPr>
                <w:rFonts w:hint="eastAsia" w:ascii="宋体" w:hAnsi="宋体" w:cs="hakuyoxingshu7000"/>
                <w:b/>
                <w:bCs/>
                <w:sz w:val="24"/>
              </w:rPr>
              <w:t>金额</w:t>
            </w:r>
          </w:p>
        </w:tc>
        <w:tc>
          <w:tcPr>
            <w:tcW w:w="1515" w:type="dxa"/>
            <w:vAlign w:val="center"/>
          </w:tcPr>
          <w:p w14:paraId="70B0D6CB">
            <w:pPr>
              <w:spacing w:line="360" w:lineRule="auto"/>
              <w:jc w:val="center"/>
              <w:rPr>
                <w:rFonts w:ascii="宋体" w:hAnsi="宋体" w:cs="hakuyoxingshu7000"/>
                <w:b/>
                <w:bCs/>
                <w:sz w:val="24"/>
              </w:rPr>
            </w:pPr>
            <w:r>
              <w:rPr>
                <w:rFonts w:hint="eastAsia" w:ascii="宋体" w:hAnsi="宋体" w:cs="hakuyoxingshu7000"/>
                <w:b/>
                <w:bCs/>
                <w:sz w:val="24"/>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rPr>
            </w:pPr>
            <w:r>
              <w:rPr>
                <w:rFonts w:hint="eastAsia" w:ascii="宋体" w:hAnsi="宋体" w:cs="hakuyoxingshu7000"/>
                <w:bCs/>
                <w:sz w:val="24"/>
              </w:rPr>
              <w:t>1</w:t>
            </w:r>
          </w:p>
        </w:tc>
        <w:tc>
          <w:tcPr>
            <w:tcW w:w="1008" w:type="dxa"/>
            <w:vAlign w:val="center"/>
          </w:tcPr>
          <w:p w14:paraId="6E383F3E">
            <w:pPr>
              <w:spacing w:line="360" w:lineRule="auto"/>
              <w:rPr>
                <w:rFonts w:ascii="宋体" w:hAnsi="宋体" w:cs="hakuyoxingshu7000"/>
                <w:bCs/>
                <w:sz w:val="24"/>
              </w:rPr>
            </w:pPr>
          </w:p>
        </w:tc>
        <w:tc>
          <w:tcPr>
            <w:tcW w:w="2304" w:type="dxa"/>
            <w:vAlign w:val="center"/>
          </w:tcPr>
          <w:p w14:paraId="584EF199">
            <w:pPr>
              <w:spacing w:line="360" w:lineRule="auto"/>
              <w:rPr>
                <w:rFonts w:ascii="宋体" w:hAnsi="宋体" w:cs="hakuyoxingshu7000"/>
                <w:bCs/>
                <w:sz w:val="24"/>
              </w:rPr>
            </w:pPr>
          </w:p>
        </w:tc>
        <w:tc>
          <w:tcPr>
            <w:tcW w:w="1525" w:type="dxa"/>
            <w:vAlign w:val="center"/>
          </w:tcPr>
          <w:p w14:paraId="487C9B37">
            <w:pPr>
              <w:spacing w:line="360" w:lineRule="auto"/>
              <w:rPr>
                <w:rFonts w:ascii="宋体" w:hAnsi="宋体" w:cs="hakuyoxingshu7000"/>
                <w:bCs/>
                <w:sz w:val="24"/>
              </w:rPr>
            </w:pPr>
          </w:p>
        </w:tc>
        <w:tc>
          <w:tcPr>
            <w:tcW w:w="1491" w:type="dxa"/>
            <w:vAlign w:val="center"/>
          </w:tcPr>
          <w:p w14:paraId="1CB30D8D">
            <w:pPr>
              <w:spacing w:line="360" w:lineRule="auto"/>
              <w:rPr>
                <w:rFonts w:ascii="宋体" w:hAnsi="宋体" w:cs="hakuyoxingshu7000"/>
                <w:b/>
                <w:bCs/>
                <w:sz w:val="24"/>
              </w:rPr>
            </w:pPr>
          </w:p>
        </w:tc>
        <w:tc>
          <w:tcPr>
            <w:tcW w:w="1458" w:type="dxa"/>
            <w:vAlign w:val="center"/>
          </w:tcPr>
          <w:p w14:paraId="704A508A">
            <w:pPr>
              <w:spacing w:line="360" w:lineRule="auto"/>
              <w:rPr>
                <w:rFonts w:ascii="宋体" w:hAnsi="宋体" w:cs="hakuyoxingshu7000"/>
                <w:b/>
                <w:bCs/>
                <w:sz w:val="24"/>
              </w:rPr>
            </w:pPr>
          </w:p>
        </w:tc>
        <w:tc>
          <w:tcPr>
            <w:tcW w:w="1515" w:type="dxa"/>
            <w:vAlign w:val="center"/>
          </w:tcPr>
          <w:p w14:paraId="101FA150">
            <w:pPr>
              <w:spacing w:line="360" w:lineRule="auto"/>
              <w:rPr>
                <w:rFonts w:ascii="宋体" w:hAnsi="宋体" w:cs="hakuyoxingshu7000"/>
                <w:b/>
                <w:bCs/>
                <w:sz w:val="24"/>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rPr>
            </w:pPr>
            <w:r>
              <w:rPr>
                <w:rFonts w:hint="eastAsia" w:ascii="宋体" w:hAnsi="宋体" w:cs="hakuyoxingshu7000"/>
                <w:bCs/>
                <w:sz w:val="24"/>
              </w:rPr>
              <w:t>2</w:t>
            </w:r>
          </w:p>
        </w:tc>
        <w:tc>
          <w:tcPr>
            <w:tcW w:w="1008" w:type="dxa"/>
            <w:vAlign w:val="center"/>
          </w:tcPr>
          <w:p w14:paraId="025B00ED">
            <w:pPr>
              <w:spacing w:line="360" w:lineRule="auto"/>
              <w:rPr>
                <w:rFonts w:ascii="宋体" w:hAnsi="宋体" w:cs="hakuyoxingshu7000"/>
                <w:bCs/>
                <w:sz w:val="24"/>
              </w:rPr>
            </w:pPr>
          </w:p>
        </w:tc>
        <w:tc>
          <w:tcPr>
            <w:tcW w:w="2304" w:type="dxa"/>
            <w:vAlign w:val="center"/>
          </w:tcPr>
          <w:p w14:paraId="2953C44F">
            <w:pPr>
              <w:spacing w:line="360" w:lineRule="auto"/>
              <w:rPr>
                <w:rFonts w:ascii="宋体" w:hAnsi="宋体" w:cs="hakuyoxingshu7000"/>
                <w:bCs/>
                <w:sz w:val="24"/>
              </w:rPr>
            </w:pPr>
          </w:p>
        </w:tc>
        <w:tc>
          <w:tcPr>
            <w:tcW w:w="1525" w:type="dxa"/>
            <w:vAlign w:val="center"/>
          </w:tcPr>
          <w:p w14:paraId="4C44FE28">
            <w:pPr>
              <w:spacing w:line="360" w:lineRule="auto"/>
              <w:rPr>
                <w:rFonts w:ascii="宋体" w:hAnsi="宋体" w:cs="hakuyoxingshu7000"/>
                <w:bCs/>
                <w:sz w:val="24"/>
              </w:rPr>
            </w:pPr>
          </w:p>
        </w:tc>
        <w:tc>
          <w:tcPr>
            <w:tcW w:w="1491" w:type="dxa"/>
            <w:vAlign w:val="center"/>
          </w:tcPr>
          <w:p w14:paraId="56EB844C">
            <w:pPr>
              <w:spacing w:line="360" w:lineRule="auto"/>
              <w:rPr>
                <w:rFonts w:ascii="宋体" w:hAnsi="宋体" w:cs="hakuyoxingshu7000"/>
                <w:b/>
                <w:bCs/>
                <w:sz w:val="24"/>
              </w:rPr>
            </w:pPr>
          </w:p>
        </w:tc>
        <w:tc>
          <w:tcPr>
            <w:tcW w:w="1458" w:type="dxa"/>
            <w:vAlign w:val="center"/>
          </w:tcPr>
          <w:p w14:paraId="02414195">
            <w:pPr>
              <w:spacing w:line="360" w:lineRule="auto"/>
              <w:rPr>
                <w:rFonts w:ascii="宋体" w:hAnsi="宋体" w:cs="hakuyoxingshu7000"/>
                <w:b/>
                <w:bCs/>
                <w:sz w:val="24"/>
              </w:rPr>
            </w:pPr>
          </w:p>
        </w:tc>
        <w:tc>
          <w:tcPr>
            <w:tcW w:w="1515" w:type="dxa"/>
            <w:vAlign w:val="center"/>
          </w:tcPr>
          <w:p w14:paraId="6A1DCC45">
            <w:pPr>
              <w:spacing w:line="360" w:lineRule="auto"/>
              <w:rPr>
                <w:rFonts w:ascii="宋体" w:hAnsi="宋体" w:cs="hakuyoxingshu7000"/>
                <w:b/>
                <w:bCs/>
                <w:sz w:val="24"/>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rPr>
            </w:pPr>
            <w:r>
              <w:rPr>
                <w:rFonts w:hint="eastAsia" w:ascii="宋体" w:hAnsi="宋体" w:cs="hakuyoxingshu7000"/>
                <w:bCs/>
                <w:sz w:val="24"/>
              </w:rPr>
              <w:t>3</w:t>
            </w:r>
          </w:p>
        </w:tc>
        <w:tc>
          <w:tcPr>
            <w:tcW w:w="1008" w:type="dxa"/>
            <w:vAlign w:val="center"/>
          </w:tcPr>
          <w:p w14:paraId="6CA52491">
            <w:pPr>
              <w:spacing w:line="360" w:lineRule="auto"/>
              <w:rPr>
                <w:rFonts w:ascii="宋体" w:hAnsi="宋体" w:cs="hakuyoxingshu7000"/>
                <w:bCs/>
                <w:sz w:val="24"/>
              </w:rPr>
            </w:pPr>
          </w:p>
        </w:tc>
        <w:tc>
          <w:tcPr>
            <w:tcW w:w="2304" w:type="dxa"/>
            <w:vAlign w:val="center"/>
          </w:tcPr>
          <w:p w14:paraId="6F6EED04">
            <w:pPr>
              <w:spacing w:line="360" w:lineRule="auto"/>
              <w:rPr>
                <w:rFonts w:ascii="宋体" w:hAnsi="宋体" w:cs="hakuyoxingshu7000"/>
                <w:bCs/>
                <w:sz w:val="24"/>
              </w:rPr>
            </w:pPr>
          </w:p>
        </w:tc>
        <w:tc>
          <w:tcPr>
            <w:tcW w:w="1525" w:type="dxa"/>
            <w:vAlign w:val="center"/>
          </w:tcPr>
          <w:p w14:paraId="37A30D69">
            <w:pPr>
              <w:spacing w:line="360" w:lineRule="auto"/>
              <w:rPr>
                <w:rFonts w:ascii="宋体" w:hAnsi="宋体" w:cs="hakuyoxingshu7000"/>
                <w:bCs/>
                <w:sz w:val="24"/>
              </w:rPr>
            </w:pPr>
          </w:p>
        </w:tc>
        <w:tc>
          <w:tcPr>
            <w:tcW w:w="1491" w:type="dxa"/>
            <w:vAlign w:val="center"/>
          </w:tcPr>
          <w:p w14:paraId="31840FE0">
            <w:pPr>
              <w:spacing w:line="360" w:lineRule="auto"/>
              <w:rPr>
                <w:rFonts w:ascii="宋体" w:hAnsi="宋体" w:cs="hakuyoxingshu7000"/>
                <w:b/>
                <w:bCs/>
                <w:sz w:val="24"/>
              </w:rPr>
            </w:pPr>
          </w:p>
        </w:tc>
        <w:tc>
          <w:tcPr>
            <w:tcW w:w="1458" w:type="dxa"/>
            <w:vAlign w:val="center"/>
          </w:tcPr>
          <w:p w14:paraId="1A91A371">
            <w:pPr>
              <w:spacing w:line="360" w:lineRule="auto"/>
              <w:rPr>
                <w:rFonts w:ascii="宋体" w:hAnsi="宋体" w:cs="hakuyoxingshu7000"/>
                <w:b/>
                <w:bCs/>
                <w:sz w:val="24"/>
              </w:rPr>
            </w:pPr>
          </w:p>
        </w:tc>
        <w:tc>
          <w:tcPr>
            <w:tcW w:w="1515" w:type="dxa"/>
            <w:vAlign w:val="center"/>
          </w:tcPr>
          <w:p w14:paraId="5AE2C45B">
            <w:pPr>
              <w:spacing w:line="360" w:lineRule="auto"/>
              <w:rPr>
                <w:rFonts w:ascii="宋体" w:hAnsi="宋体" w:cs="hakuyoxingshu7000"/>
                <w:b/>
                <w:bCs/>
                <w:sz w:val="24"/>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rPr>
            </w:pPr>
            <w:r>
              <w:rPr>
                <w:rFonts w:hint="eastAsia" w:ascii="宋体" w:hAnsi="宋体" w:cs="hakuyoxingshu7000"/>
                <w:bCs/>
                <w:sz w:val="24"/>
              </w:rPr>
              <w:t>4</w:t>
            </w:r>
          </w:p>
        </w:tc>
        <w:tc>
          <w:tcPr>
            <w:tcW w:w="1008" w:type="dxa"/>
            <w:vAlign w:val="center"/>
          </w:tcPr>
          <w:p w14:paraId="24A258BD">
            <w:pPr>
              <w:spacing w:line="360" w:lineRule="auto"/>
              <w:rPr>
                <w:rFonts w:ascii="宋体" w:hAnsi="宋体" w:cs="hakuyoxingshu7000"/>
                <w:bCs/>
                <w:sz w:val="24"/>
              </w:rPr>
            </w:pPr>
          </w:p>
        </w:tc>
        <w:tc>
          <w:tcPr>
            <w:tcW w:w="2304" w:type="dxa"/>
            <w:vAlign w:val="center"/>
          </w:tcPr>
          <w:p w14:paraId="5A6D7BF4">
            <w:pPr>
              <w:spacing w:line="360" w:lineRule="auto"/>
              <w:rPr>
                <w:rFonts w:ascii="宋体" w:hAnsi="宋体" w:cs="hakuyoxingshu7000"/>
                <w:bCs/>
                <w:sz w:val="24"/>
              </w:rPr>
            </w:pPr>
          </w:p>
        </w:tc>
        <w:tc>
          <w:tcPr>
            <w:tcW w:w="1525" w:type="dxa"/>
            <w:vAlign w:val="center"/>
          </w:tcPr>
          <w:p w14:paraId="415F03B5">
            <w:pPr>
              <w:spacing w:line="360" w:lineRule="auto"/>
              <w:rPr>
                <w:rFonts w:ascii="宋体" w:hAnsi="宋体" w:cs="hakuyoxingshu7000"/>
                <w:bCs/>
                <w:sz w:val="24"/>
              </w:rPr>
            </w:pPr>
          </w:p>
        </w:tc>
        <w:tc>
          <w:tcPr>
            <w:tcW w:w="1491" w:type="dxa"/>
            <w:vAlign w:val="center"/>
          </w:tcPr>
          <w:p w14:paraId="448B9FAA">
            <w:pPr>
              <w:spacing w:line="360" w:lineRule="auto"/>
              <w:rPr>
                <w:rFonts w:ascii="宋体" w:hAnsi="宋体" w:cs="hakuyoxingshu7000"/>
                <w:b/>
                <w:bCs/>
                <w:sz w:val="24"/>
              </w:rPr>
            </w:pPr>
          </w:p>
        </w:tc>
        <w:tc>
          <w:tcPr>
            <w:tcW w:w="1458" w:type="dxa"/>
            <w:vAlign w:val="center"/>
          </w:tcPr>
          <w:p w14:paraId="20DEEE85">
            <w:pPr>
              <w:spacing w:line="360" w:lineRule="auto"/>
              <w:rPr>
                <w:rFonts w:ascii="宋体" w:hAnsi="宋体" w:cs="hakuyoxingshu7000"/>
                <w:b/>
                <w:bCs/>
                <w:sz w:val="24"/>
              </w:rPr>
            </w:pPr>
          </w:p>
        </w:tc>
        <w:tc>
          <w:tcPr>
            <w:tcW w:w="1515" w:type="dxa"/>
            <w:vAlign w:val="center"/>
          </w:tcPr>
          <w:p w14:paraId="5D245A06">
            <w:pPr>
              <w:spacing w:line="360" w:lineRule="auto"/>
              <w:rPr>
                <w:rFonts w:ascii="宋体" w:hAnsi="宋体" w:cs="hakuyoxingshu7000"/>
                <w:b/>
                <w:bCs/>
                <w:sz w:val="24"/>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rPr>
            </w:pPr>
            <w:r>
              <w:rPr>
                <w:rFonts w:hint="eastAsia" w:ascii="宋体" w:hAnsi="宋体" w:cs="hakuyoxingshu7000"/>
                <w:bCs/>
                <w:sz w:val="24"/>
              </w:rPr>
              <w:t>5</w:t>
            </w:r>
          </w:p>
        </w:tc>
        <w:tc>
          <w:tcPr>
            <w:tcW w:w="1008" w:type="dxa"/>
            <w:vAlign w:val="center"/>
          </w:tcPr>
          <w:p w14:paraId="07495637">
            <w:pPr>
              <w:spacing w:line="360" w:lineRule="auto"/>
              <w:rPr>
                <w:rFonts w:ascii="宋体" w:hAnsi="宋体" w:cs="hakuyoxingshu7000"/>
                <w:bCs/>
                <w:sz w:val="24"/>
              </w:rPr>
            </w:pPr>
          </w:p>
        </w:tc>
        <w:tc>
          <w:tcPr>
            <w:tcW w:w="2304" w:type="dxa"/>
            <w:vAlign w:val="center"/>
          </w:tcPr>
          <w:p w14:paraId="33FFF48F">
            <w:pPr>
              <w:spacing w:line="360" w:lineRule="auto"/>
              <w:rPr>
                <w:rFonts w:ascii="宋体" w:hAnsi="宋体" w:cs="hakuyoxingshu7000"/>
                <w:bCs/>
                <w:sz w:val="24"/>
              </w:rPr>
            </w:pPr>
          </w:p>
        </w:tc>
        <w:tc>
          <w:tcPr>
            <w:tcW w:w="1525" w:type="dxa"/>
            <w:vAlign w:val="center"/>
          </w:tcPr>
          <w:p w14:paraId="794E03DD">
            <w:pPr>
              <w:spacing w:line="360" w:lineRule="auto"/>
              <w:rPr>
                <w:rFonts w:ascii="宋体" w:hAnsi="宋体" w:cs="hakuyoxingshu7000"/>
                <w:bCs/>
                <w:sz w:val="24"/>
              </w:rPr>
            </w:pPr>
          </w:p>
        </w:tc>
        <w:tc>
          <w:tcPr>
            <w:tcW w:w="1491" w:type="dxa"/>
            <w:vAlign w:val="center"/>
          </w:tcPr>
          <w:p w14:paraId="62FEAC7A">
            <w:pPr>
              <w:spacing w:line="360" w:lineRule="auto"/>
              <w:rPr>
                <w:rFonts w:ascii="宋体" w:hAnsi="宋体" w:cs="hakuyoxingshu7000"/>
                <w:b/>
                <w:bCs/>
                <w:sz w:val="24"/>
              </w:rPr>
            </w:pPr>
          </w:p>
        </w:tc>
        <w:tc>
          <w:tcPr>
            <w:tcW w:w="1458" w:type="dxa"/>
            <w:vAlign w:val="center"/>
          </w:tcPr>
          <w:p w14:paraId="1552ED17">
            <w:pPr>
              <w:spacing w:line="360" w:lineRule="auto"/>
              <w:rPr>
                <w:rFonts w:ascii="宋体" w:hAnsi="宋体" w:cs="hakuyoxingshu7000"/>
                <w:b/>
                <w:bCs/>
                <w:sz w:val="24"/>
              </w:rPr>
            </w:pPr>
          </w:p>
        </w:tc>
        <w:tc>
          <w:tcPr>
            <w:tcW w:w="1515" w:type="dxa"/>
            <w:vAlign w:val="center"/>
          </w:tcPr>
          <w:p w14:paraId="6410815F">
            <w:pPr>
              <w:spacing w:line="360" w:lineRule="auto"/>
              <w:rPr>
                <w:rFonts w:ascii="宋体" w:hAnsi="宋体" w:cs="hakuyoxingshu7000"/>
                <w:b/>
                <w:bCs/>
                <w:sz w:val="24"/>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rPr>
            </w:pPr>
            <w:r>
              <w:rPr>
                <w:rFonts w:hint="eastAsia" w:ascii="宋体" w:hAnsi="宋体" w:cs="hakuyoxingshu7000"/>
                <w:bCs/>
                <w:sz w:val="24"/>
              </w:rPr>
              <w:t>6</w:t>
            </w:r>
          </w:p>
        </w:tc>
        <w:tc>
          <w:tcPr>
            <w:tcW w:w="1008" w:type="dxa"/>
            <w:vAlign w:val="center"/>
          </w:tcPr>
          <w:p w14:paraId="40981366">
            <w:pPr>
              <w:spacing w:line="360" w:lineRule="auto"/>
              <w:rPr>
                <w:rFonts w:ascii="宋体" w:hAnsi="宋体" w:cs="hakuyoxingshu7000"/>
                <w:bCs/>
                <w:sz w:val="24"/>
              </w:rPr>
            </w:pPr>
          </w:p>
        </w:tc>
        <w:tc>
          <w:tcPr>
            <w:tcW w:w="2304" w:type="dxa"/>
            <w:vAlign w:val="center"/>
          </w:tcPr>
          <w:p w14:paraId="6CD165D6">
            <w:pPr>
              <w:spacing w:line="360" w:lineRule="auto"/>
              <w:rPr>
                <w:rFonts w:ascii="宋体" w:hAnsi="宋体" w:cs="hakuyoxingshu7000"/>
                <w:bCs/>
                <w:sz w:val="24"/>
              </w:rPr>
            </w:pPr>
          </w:p>
        </w:tc>
        <w:tc>
          <w:tcPr>
            <w:tcW w:w="1525" w:type="dxa"/>
            <w:vAlign w:val="center"/>
          </w:tcPr>
          <w:p w14:paraId="6FDC58E5">
            <w:pPr>
              <w:spacing w:line="360" w:lineRule="auto"/>
              <w:rPr>
                <w:rFonts w:ascii="宋体" w:hAnsi="宋体" w:cs="hakuyoxingshu7000"/>
                <w:bCs/>
                <w:sz w:val="24"/>
              </w:rPr>
            </w:pPr>
          </w:p>
        </w:tc>
        <w:tc>
          <w:tcPr>
            <w:tcW w:w="1491" w:type="dxa"/>
            <w:vAlign w:val="center"/>
          </w:tcPr>
          <w:p w14:paraId="772553E1">
            <w:pPr>
              <w:spacing w:line="360" w:lineRule="auto"/>
              <w:rPr>
                <w:rFonts w:ascii="宋体" w:hAnsi="宋体" w:cs="hakuyoxingshu7000"/>
                <w:b/>
                <w:bCs/>
                <w:sz w:val="24"/>
              </w:rPr>
            </w:pPr>
          </w:p>
        </w:tc>
        <w:tc>
          <w:tcPr>
            <w:tcW w:w="1458" w:type="dxa"/>
            <w:vAlign w:val="center"/>
          </w:tcPr>
          <w:p w14:paraId="5C0F5102">
            <w:pPr>
              <w:spacing w:line="360" w:lineRule="auto"/>
              <w:rPr>
                <w:rFonts w:ascii="宋体" w:hAnsi="宋体" w:cs="hakuyoxingshu7000"/>
                <w:b/>
                <w:bCs/>
                <w:sz w:val="24"/>
              </w:rPr>
            </w:pPr>
          </w:p>
        </w:tc>
        <w:tc>
          <w:tcPr>
            <w:tcW w:w="1515" w:type="dxa"/>
            <w:vAlign w:val="center"/>
          </w:tcPr>
          <w:p w14:paraId="5DFB519E">
            <w:pPr>
              <w:spacing w:line="360" w:lineRule="auto"/>
              <w:rPr>
                <w:rFonts w:ascii="宋体" w:hAnsi="宋体" w:cs="hakuyoxingshu7000"/>
                <w:b/>
                <w:bCs/>
                <w:sz w:val="24"/>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rPr>
            </w:pPr>
            <w:r>
              <w:rPr>
                <w:rFonts w:hint="eastAsia" w:ascii="宋体" w:hAnsi="宋体" w:cs="hakuyoxingshu7000"/>
                <w:bCs/>
                <w:sz w:val="24"/>
              </w:rPr>
              <w:t>7</w:t>
            </w:r>
          </w:p>
        </w:tc>
        <w:tc>
          <w:tcPr>
            <w:tcW w:w="1008" w:type="dxa"/>
            <w:vAlign w:val="center"/>
          </w:tcPr>
          <w:p w14:paraId="436E19B0">
            <w:pPr>
              <w:spacing w:line="360" w:lineRule="auto"/>
              <w:rPr>
                <w:rFonts w:ascii="宋体" w:hAnsi="宋体" w:cs="hakuyoxingshu7000"/>
                <w:bCs/>
                <w:sz w:val="24"/>
              </w:rPr>
            </w:pPr>
          </w:p>
        </w:tc>
        <w:tc>
          <w:tcPr>
            <w:tcW w:w="2304" w:type="dxa"/>
            <w:vAlign w:val="center"/>
          </w:tcPr>
          <w:p w14:paraId="7D2BECB6">
            <w:pPr>
              <w:spacing w:line="360" w:lineRule="auto"/>
              <w:rPr>
                <w:rFonts w:ascii="宋体" w:hAnsi="宋体" w:cs="hakuyoxingshu7000"/>
                <w:bCs/>
                <w:sz w:val="24"/>
              </w:rPr>
            </w:pPr>
          </w:p>
        </w:tc>
        <w:tc>
          <w:tcPr>
            <w:tcW w:w="1525" w:type="dxa"/>
            <w:vAlign w:val="center"/>
          </w:tcPr>
          <w:p w14:paraId="0815CE23">
            <w:pPr>
              <w:spacing w:line="360" w:lineRule="auto"/>
              <w:rPr>
                <w:rFonts w:ascii="宋体" w:hAnsi="宋体" w:cs="hakuyoxingshu7000"/>
                <w:bCs/>
                <w:sz w:val="24"/>
              </w:rPr>
            </w:pPr>
          </w:p>
        </w:tc>
        <w:tc>
          <w:tcPr>
            <w:tcW w:w="1491" w:type="dxa"/>
            <w:vAlign w:val="center"/>
          </w:tcPr>
          <w:p w14:paraId="244358CB">
            <w:pPr>
              <w:spacing w:line="360" w:lineRule="auto"/>
              <w:rPr>
                <w:rFonts w:ascii="宋体" w:hAnsi="宋体" w:cs="hakuyoxingshu7000"/>
                <w:b/>
                <w:bCs/>
                <w:sz w:val="24"/>
              </w:rPr>
            </w:pPr>
          </w:p>
        </w:tc>
        <w:tc>
          <w:tcPr>
            <w:tcW w:w="1458" w:type="dxa"/>
            <w:vAlign w:val="center"/>
          </w:tcPr>
          <w:p w14:paraId="6F0D493A">
            <w:pPr>
              <w:spacing w:line="360" w:lineRule="auto"/>
              <w:rPr>
                <w:rFonts w:ascii="宋体" w:hAnsi="宋体" w:cs="hakuyoxingshu7000"/>
                <w:b/>
                <w:bCs/>
                <w:sz w:val="24"/>
              </w:rPr>
            </w:pPr>
          </w:p>
        </w:tc>
        <w:tc>
          <w:tcPr>
            <w:tcW w:w="1515" w:type="dxa"/>
            <w:vAlign w:val="center"/>
          </w:tcPr>
          <w:p w14:paraId="22C0D9E3">
            <w:pPr>
              <w:spacing w:line="360" w:lineRule="auto"/>
              <w:rPr>
                <w:rFonts w:ascii="宋体" w:hAnsi="宋体" w:cs="hakuyoxingshu7000"/>
                <w:b/>
                <w:bCs/>
                <w:sz w:val="24"/>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rPr>
            </w:pPr>
            <w:r>
              <w:rPr>
                <w:rFonts w:hint="eastAsia" w:ascii="宋体" w:hAnsi="宋体" w:cs="hakuyoxingshu7000"/>
                <w:bCs/>
                <w:sz w:val="24"/>
              </w:rPr>
              <w:t>8</w:t>
            </w:r>
          </w:p>
        </w:tc>
        <w:tc>
          <w:tcPr>
            <w:tcW w:w="1008" w:type="dxa"/>
            <w:vAlign w:val="center"/>
          </w:tcPr>
          <w:p w14:paraId="7A743047">
            <w:pPr>
              <w:spacing w:line="360" w:lineRule="auto"/>
              <w:jc w:val="center"/>
              <w:rPr>
                <w:rFonts w:ascii="宋体" w:hAnsi="宋体" w:cs="hakuyoxingshu7000"/>
                <w:b/>
                <w:bCs/>
                <w:sz w:val="24"/>
              </w:rPr>
            </w:pPr>
          </w:p>
        </w:tc>
        <w:tc>
          <w:tcPr>
            <w:tcW w:w="5320" w:type="dxa"/>
            <w:gridSpan w:val="3"/>
            <w:vAlign w:val="center"/>
          </w:tcPr>
          <w:p w14:paraId="3E51F10D">
            <w:pPr>
              <w:spacing w:line="360" w:lineRule="auto"/>
              <w:jc w:val="center"/>
              <w:rPr>
                <w:rFonts w:ascii="宋体" w:hAnsi="宋体" w:cs="hakuyoxingshu7000"/>
                <w:b/>
                <w:bCs/>
                <w:sz w:val="24"/>
              </w:rPr>
            </w:pPr>
            <w:r>
              <w:rPr>
                <w:rFonts w:hint="eastAsia" w:ascii="宋体" w:hAnsi="宋体" w:cs="hakuyoxingshu7000"/>
                <w:b/>
                <w:bCs/>
                <w:sz w:val="24"/>
              </w:rPr>
              <w:t>合计金额：</w:t>
            </w:r>
          </w:p>
        </w:tc>
        <w:tc>
          <w:tcPr>
            <w:tcW w:w="1458" w:type="dxa"/>
            <w:vAlign w:val="center"/>
          </w:tcPr>
          <w:p w14:paraId="0C83CAFB">
            <w:pPr>
              <w:spacing w:line="360" w:lineRule="auto"/>
              <w:rPr>
                <w:rFonts w:ascii="宋体" w:hAnsi="宋体" w:cs="hakuyoxingshu7000"/>
                <w:b/>
                <w:bCs/>
                <w:sz w:val="24"/>
              </w:rPr>
            </w:pPr>
          </w:p>
        </w:tc>
        <w:tc>
          <w:tcPr>
            <w:tcW w:w="1515" w:type="dxa"/>
            <w:vAlign w:val="center"/>
          </w:tcPr>
          <w:p w14:paraId="09630431">
            <w:pPr>
              <w:spacing w:line="360" w:lineRule="auto"/>
              <w:rPr>
                <w:rFonts w:ascii="宋体" w:hAnsi="宋体" w:cs="hakuyoxingshu7000"/>
                <w:b/>
                <w:bCs/>
                <w:sz w:val="24"/>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rPr>
                <w:rFonts w:ascii="宋体" w:hAnsi="宋体" w:cs="hakuyoxingshu7000"/>
                <w:b/>
                <w:bCs/>
                <w:sz w:val="24"/>
              </w:rPr>
            </w:pPr>
          </w:p>
        </w:tc>
        <w:tc>
          <w:tcPr>
            <w:tcW w:w="8293" w:type="dxa"/>
            <w:gridSpan w:val="5"/>
            <w:vAlign w:val="center"/>
          </w:tcPr>
          <w:p w14:paraId="5B397EFF">
            <w:pPr>
              <w:spacing w:line="360" w:lineRule="auto"/>
              <w:rPr>
                <w:rFonts w:ascii="宋体" w:hAnsi="宋体" w:cs="hakuyoxingshu7000"/>
                <w:b/>
                <w:bCs/>
                <w:sz w:val="24"/>
              </w:rPr>
            </w:pPr>
            <w:r>
              <w:rPr>
                <w:rFonts w:hint="eastAsia" w:ascii="宋体" w:hAnsi="宋体" w:cs="hakuyoxingshu7000"/>
                <w:b/>
                <w:bCs/>
                <w:sz w:val="24"/>
              </w:rPr>
              <w:t>合计投标报价（大写）：                             元人民币</w:t>
            </w:r>
          </w:p>
        </w:tc>
      </w:tr>
    </w:tbl>
    <w:p w14:paraId="4B19D83C">
      <w:pPr>
        <w:spacing w:line="360" w:lineRule="auto"/>
        <w:rPr>
          <w:rFonts w:ascii="宋体" w:hAnsi="宋体" w:cs="Arial"/>
          <w:b/>
          <w:bCs/>
          <w:sz w:val="24"/>
        </w:rPr>
      </w:pPr>
      <w:r>
        <w:rPr>
          <w:rFonts w:hint="eastAsia" w:ascii="新宋体" w:hAnsi="新宋体" w:eastAsia="新宋体"/>
          <w:b/>
          <w:sz w:val="24"/>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rPr>
      </w:pPr>
      <w:r>
        <w:rPr>
          <w:rFonts w:hint="eastAsia" w:ascii="宋体" w:hAnsi="宋体" w:cs="Arial"/>
          <w:b/>
          <w:bCs/>
          <w:sz w:val="24"/>
        </w:rPr>
        <w:t>报价清单请按预估数量×预估单价为总报价。</w:t>
      </w:r>
    </w:p>
    <w:p w14:paraId="0DB14BE1">
      <w:pPr>
        <w:spacing w:line="360" w:lineRule="auto"/>
        <w:rPr>
          <w:rFonts w:ascii="宋体" w:hAnsi="宋体" w:cs="Arial"/>
          <w:b/>
          <w:bCs/>
          <w:sz w:val="24"/>
        </w:rPr>
      </w:pPr>
    </w:p>
    <w:p w14:paraId="720A669C">
      <w:pPr>
        <w:spacing w:line="360" w:lineRule="auto"/>
        <w:ind w:right="-11" w:firstLine="240" w:firstLineChars="100"/>
        <w:rPr>
          <w:rFonts w:ascii="宋体" w:hAnsi="宋体" w:cs="Arial"/>
          <w:sz w:val="24"/>
        </w:rPr>
      </w:pPr>
      <w:r>
        <w:rPr>
          <w:rFonts w:hint="eastAsia" w:ascii="宋体" w:hAnsi="宋体" w:cs="Arial"/>
          <w:sz w:val="24"/>
        </w:rPr>
        <w:t>投标商全称</w:t>
      </w:r>
      <w:r>
        <w:rPr>
          <w:rFonts w:ascii="宋体" w:hAnsi="宋体" w:cs="Arial"/>
          <w:sz w:val="24"/>
        </w:rPr>
        <w:t>（公章）：</w:t>
      </w:r>
      <w:r>
        <w:rPr>
          <w:rFonts w:hint="eastAsia" w:ascii="宋体" w:hAnsi="宋体" w:cs="Arial"/>
          <w:sz w:val="24"/>
          <w:u w:val="single"/>
        </w:rPr>
        <w:t xml:space="preserve">                    </w:t>
      </w:r>
    </w:p>
    <w:p w14:paraId="5D2D9F65">
      <w:pPr>
        <w:spacing w:line="360" w:lineRule="auto"/>
        <w:rPr>
          <w:rFonts w:ascii="宋体" w:hAnsi="宋体"/>
          <w:sz w:val="24"/>
        </w:rPr>
      </w:pPr>
      <w:r>
        <w:rPr>
          <w:rFonts w:hint="eastAsia" w:ascii="宋体" w:hAnsi="宋体"/>
          <w:sz w:val="24"/>
        </w:rPr>
        <w:t xml:space="preserve">  </w:t>
      </w:r>
      <w:r>
        <w:rPr>
          <w:rFonts w:ascii="宋体" w:hAnsi="宋体"/>
          <w:sz w:val="24"/>
        </w:rPr>
        <w:t>日期：</w:t>
      </w:r>
      <w:r>
        <w:rPr>
          <w:rFonts w:hint="eastAsia" w:ascii="宋体" w:hAnsi="宋体"/>
          <w:sz w:val="24"/>
          <w:u w:val="single"/>
        </w:rPr>
        <w:t xml:space="preserve">               </w:t>
      </w:r>
    </w:p>
    <w:p w14:paraId="3480810A">
      <w:pPr>
        <w:spacing w:line="360" w:lineRule="auto"/>
        <w:rPr>
          <w:sz w:val="24"/>
        </w:rPr>
      </w:pPr>
    </w:p>
    <w:p w14:paraId="7A4DF3EC">
      <w:pPr>
        <w:widowControl/>
        <w:spacing w:line="360" w:lineRule="auto"/>
        <w:jc w:val="left"/>
      </w:pPr>
    </w:p>
    <w:p w14:paraId="0209CD3A">
      <w:pPr>
        <w:widowControl/>
        <w:spacing w:line="360" w:lineRule="auto"/>
        <w:jc w:val="left"/>
      </w:pPr>
    </w:p>
    <w:p w14:paraId="6690C3A1">
      <w:pPr>
        <w:widowControl/>
        <w:spacing w:line="360" w:lineRule="auto"/>
        <w:jc w:val="left"/>
      </w:pPr>
    </w:p>
    <w:p w14:paraId="0DD0298D">
      <w:pPr>
        <w:widowControl/>
        <w:spacing w:line="360" w:lineRule="auto"/>
        <w:jc w:val="left"/>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Segoe UI">
    <w:panose1 w:val="020B0502040204020203"/>
    <w:charset w:val="00"/>
    <w:family w:val="swiss"/>
    <w:pitch w:val="default"/>
    <w:sig w:usb0="E10022FF" w:usb1="C000E47F" w:usb2="00000029" w:usb3="00000000" w:csb0="200001DF" w:csb1="20000000"/>
  </w:font>
  <w:font w:name="hakuyoxingshu7000">
    <w:altName w:val="宋体"/>
    <w:panose1 w:val="00000000000000000000"/>
    <w:charset w:val="86"/>
    <w:family w:val="auto"/>
    <w:pitch w:val="default"/>
    <w:sig w:usb0="00000000" w:usb1="00000000" w:usb2="0000003F" w:usb3="00000000" w:csb0="603F00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D6EF3"/>
    <w:multiLevelType w:val="singleLevel"/>
    <w:tmpl w:val="971D6EF3"/>
    <w:lvl w:ilvl="0" w:tentative="0">
      <w:start w:val="1"/>
      <w:numFmt w:val="decimal"/>
      <w:lvlText w:val="%1."/>
      <w:lvlJc w:val="left"/>
      <w:pPr>
        <w:tabs>
          <w:tab w:val="left" w:pos="312"/>
        </w:tabs>
      </w:pPr>
    </w:lvl>
  </w:abstractNum>
  <w:abstractNum w:abstractNumId="1">
    <w:nsid w:val="A52899EC"/>
    <w:multiLevelType w:val="singleLevel"/>
    <w:tmpl w:val="A52899EC"/>
    <w:lvl w:ilvl="0" w:tentative="0">
      <w:start w:val="1"/>
      <w:numFmt w:val="decimal"/>
      <w:suff w:val="nothing"/>
      <w:lvlText w:val="%1、"/>
      <w:lvlJc w:val="left"/>
    </w:lvl>
  </w:abstractNum>
  <w:abstractNum w:abstractNumId="2">
    <w:nsid w:val="FC00EF3E"/>
    <w:multiLevelType w:val="singleLevel"/>
    <w:tmpl w:val="FC00EF3E"/>
    <w:lvl w:ilvl="0" w:tentative="0">
      <w:start w:val="1"/>
      <w:numFmt w:val="chineseCounting"/>
      <w:suff w:val="nothing"/>
      <w:lvlText w:val="%1、"/>
      <w:lvlJc w:val="left"/>
      <w:rPr>
        <w:rFonts w:hint="eastAsia"/>
      </w:rPr>
    </w:lvl>
  </w:abstractNum>
  <w:abstractNum w:abstractNumId="3">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1NWE4MzgzMzNiMjhmZmMxMDNlZjM0NGE0Mjk3N2MifQ=="/>
  </w:docVars>
  <w:rsids>
    <w:rsidRoot w:val="7E9D2BEE"/>
    <w:rsid w:val="00164318"/>
    <w:rsid w:val="003D4B84"/>
    <w:rsid w:val="0060628D"/>
    <w:rsid w:val="008F65FF"/>
    <w:rsid w:val="00B23857"/>
    <w:rsid w:val="00E16A0C"/>
    <w:rsid w:val="00EA7669"/>
    <w:rsid w:val="01735F55"/>
    <w:rsid w:val="01920F12"/>
    <w:rsid w:val="0217614B"/>
    <w:rsid w:val="02444CFE"/>
    <w:rsid w:val="02693733"/>
    <w:rsid w:val="02702D13"/>
    <w:rsid w:val="02AE55E9"/>
    <w:rsid w:val="031F6931"/>
    <w:rsid w:val="037F7C73"/>
    <w:rsid w:val="0399071A"/>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5D610DF"/>
    <w:rsid w:val="063437DC"/>
    <w:rsid w:val="063F15D1"/>
    <w:rsid w:val="0663284C"/>
    <w:rsid w:val="06770E4D"/>
    <w:rsid w:val="06B701C7"/>
    <w:rsid w:val="07016BD4"/>
    <w:rsid w:val="07B40FAC"/>
    <w:rsid w:val="07F608F1"/>
    <w:rsid w:val="084367D4"/>
    <w:rsid w:val="08A43261"/>
    <w:rsid w:val="09181A0E"/>
    <w:rsid w:val="09414AC1"/>
    <w:rsid w:val="09682EB8"/>
    <w:rsid w:val="09701596"/>
    <w:rsid w:val="09B01196"/>
    <w:rsid w:val="09EF276F"/>
    <w:rsid w:val="0A1041B5"/>
    <w:rsid w:val="0A155669"/>
    <w:rsid w:val="0A992ACF"/>
    <w:rsid w:val="0AAC082D"/>
    <w:rsid w:val="0ABB16FD"/>
    <w:rsid w:val="0B280B93"/>
    <w:rsid w:val="0B9E1294"/>
    <w:rsid w:val="0C0F6D61"/>
    <w:rsid w:val="0C1C35C4"/>
    <w:rsid w:val="0C3E373D"/>
    <w:rsid w:val="0C48260B"/>
    <w:rsid w:val="0C811679"/>
    <w:rsid w:val="0C88659A"/>
    <w:rsid w:val="0C9814B5"/>
    <w:rsid w:val="0C992E66"/>
    <w:rsid w:val="0CB67574"/>
    <w:rsid w:val="0CD74F4E"/>
    <w:rsid w:val="0D625D59"/>
    <w:rsid w:val="0DCF4D92"/>
    <w:rsid w:val="0DD57DA6"/>
    <w:rsid w:val="0E1D50C2"/>
    <w:rsid w:val="0E2B3F92"/>
    <w:rsid w:val="0EB126E9"/>
    <w:rsid w:val="0FC6104D"/>
    <w:rsid w:val="0FD86205"/>
    <w:rsid w:val="0FFD20EE"/>
    <w:rsid w:val="102D3FF1"/>
    <w:rsid w:val="107C5C0E"/>
    <w:rsid w:val="109C4CD3"/>
    <w:rsid w:val="10D95F27"/>
    <w:rsid w:val="10F36FE9"/>
    <w:rsid w:val="110E0BAC"/>
    <w:rsid w:val="114C494B"/>
    <w:rsid w:val="11CB32F9"/>
    <w:rsid w:val="127B54E8"/>
    <w:rsid w:val="12B22195"/>
    <w:rsid w:val="13176A48"/>
    <w:rsid w:val="131E40C5"/>
    <w:rsid w:val="13823917"/>
    <w:rsid w:val="13CA1F19"/>
    <w:rsid w:val="13DD44F2"/>
    <w:rsid w:val="144E2A5F"/>
    <w:rsid w:val="14CA0061"/>
    <w:rsid w:val="14D507B4"/>
    <w:rsid w:val="14E32ED1"/>
    <w:rsid w:val="154D3605"/>
    <w:rsid w:val="15E52C78"/>
    <w:rsid w:val="16325C9C"/>
    <w:rsid w:val="166B13D0"/>
    <w:rsid w:val="16B234A2"/>
    <w:rsid w:val="16BF796D"/>
    <w:rsid w:val="16E70179"/>
    <w:rsid w:val="173845ED"/>
    <w:rsid w:val="17856145"/>
    <w:rsid w:val="17FD24FB"/>
    <w:rsid w:val="18185587"/>
    <w:rsid w:val="182201B4"/>
    <w:rsid w:val="184523CE"/>
    <w:rsid w:val="184E706F"/>
    <w:rsid w:val="187B02C7"/>
    <w:rsid w:val="18E17A47"/>
    <w:rsid w:val="18F00A8A"/>
    <w:rsid w:val="19235266"/>
    <w:rsid w:val="196C08F1"/>
    <w:rsid w:val="1A2521DD"/>
    <w:rsid w:val="1A846F04"/>
    <w:rsid w:val="1A935399"/>
    <w:rsid w:val="1AAF0E80"/>
    <w:rsid w:val="1AC51655"/>
    <w:rsid w:val="1ADA6B24"/>
    <w:rsid w:val="1B4D379A"/>
    <w:rsid w:val="1B5C4EFB"/>
    <w:rsid w:val="1B676A58"/>
    <w:rsid w:val="1B6D2EC4"/>
    <w:rsid w:val="1B943177"/>
    <w:rsid w:val="1B9969DF"/>
    <w:rsid w:val="1BCD3B84"/>
    <w:rsid w:val="1BD532AE"/>
    <w:rsid w:val="1C275729"/>
    <w:rsid w:val="1C5D4C5D"/>
    <w:rsid w:val="1C8431EB"/>
    <w:rsid w:val="1CB810E7"/>
    <w:rsid w:val="1CCE26B8"/>
    <w:rsid w:val="1CDE389D"/>
    <w:rsid w:val="1D525097"/>
    <w:rsid w:val="1DDC2BB3"/>
    <w:rsid w:val="1DF63C75"/>
    <w:rsid w:val="1DF655C9"/>
    <w:rsid w:val="1E01086B"/>
    <w:rsid w:val="1E05197A"/>
    <w:rsid w:val="1E6432D4"/>
    <w:rsid w:val="1E82375A"/>
    <w:rsid w:val="1E960FB4"/>
    <w:rsid w:val="1EEA7AC6"/>
    <w:rsid w:val="1F090697"/>
    <w:rsid w:val="1F7B5265"/>
    <w:rsid w:val="1F7E2174"/>
    <w:rsid w:val="1FD92A7D"/>
    <w:rsid w:val="20140D2A"/>
    <w:rsid w:val="203B6D03"/>
    <w:rsid w:val="206A26F8"/>
    <w:rsid w:val="207215AC"/>
    <w:rsid w:val="20825C93"/>
    <w:rsid w:val="20AC4ABE"/>
    <w:rsid w:val="20B300B6"/>
    <w:rsid w:val="20BE4494"/>
    <w:rsid w:val="210B5C89"/>
    <w:rsid w:val="213056EF"/>
    <w:rsid w:val="214B19AF"/>
    <w:rsid w:val="219C2D85"/>
    <w:rsid w:val="21AE1BD8"/>
    <w:rsid w:val="21B53E47"/>
    <w:rsid w:val="21E30D42"/>
    <w:rsid w:val="22201238"/>
    <w:rsid w:val="225E003A"/>
    <w:rsid w:val="22617B2B"/>
    <w:rsid w:val="226A4C31"/>
    <w:rsid w:val="226B2757"/>
    <w:rsid w:val="22B74B50"/>
    <w:rsid w:val="22C500B9"/>
    <w:rsid w:val="22F4274D"/>
    <w:rsid w:val="23086FED"/>
    <w:rsid w:val="23696C97"/>
    <w:rsid w:val="23CB5BA3"/>
    <w:rsid w:val="23DD5975"/>
    <w:rsid w:val="23E822B1"/>
    <w:rsid w:val="23FA2DFB"/>
    <w:rsid w:val="242D0576"/>
    <w:rsid w:val="24BE3012"/>
    <w:rsid w:val="24C20D54"/>
    <w:rsid w:val="250003E1"/>
    <w:rsid w:val="250032EF"/>
    <w:rsid w:val="25396B3D"/>
    <w:rsid w:val="256F255E"/>
    <w:rsid w:val="2601367E"/>
    <w:rsid w:val="260E1459"/>
    <w:rsid w:val="26647BE9"/>
    <w:rsid w:val="26CB1FFA"/>
    <w:rsid w:val="277327DA"/>
    <w:rsid w:val="278A02F5"/>
    <w:rsid w:val="27AC7A9A"/>
    <w:rsid w:val="27BA6FBE"/>
    <w:rsid w:val="282707F3"/>
    <w:rsid w:val="28AC341B"/>
    <w:rsid w:val="28F33F9C"/>
    <w:rsid w:val="290B7C96"/>
    <w:rsid w:val="299E3412"/>
    <w:rsid w:val="29CC6E69"/>
    <w:rsid w:val="2A24600D"/>
    <w:rsid w:val="2A4B17EC"/>
    <w:rsid w:val="2A5A1159"/>
    <w:rsid w:val="2B0D5F6D"/>
    <w:rsid w:val="2B683928"/>
    <w:rsid w:val="2C025EDA"/>
    <w:rsid w:val="2C0E0D23"/>
    <w:rsid w:val="2C273B93"/>
    <w:rsid w:val="2C412EA7"/>
    <w:rsid w:val="2C7F2D90"/>
    <w:rsid w:val="2C8402CC"/>
    <w:rsid w:val="2C8965FC"/>
    <w:rsid w:val="2C9F3729"/>
    <w:rsid w:val="2CD25DAF"/>
    <w:rsid w:val="2D381852"/>
    <w:rsid w:val="2D511CA4"/>
    <w:rsid w:val="2D990AC0"/>
    <w:rsid w:val="2DAF3E40"/>
    <w:rsid w:val="2DDA4C9A"/>
    <w:rsid w:val="2DE55AB4"/>
    <w:rsid w:val="2DFA155F"/>
    <w:rsid w:val="2E0C3A22"/>
    <w:rsid w:val="2E0D1483"/>
    <w:rsid w:val="2E3D7EEF"/>
    <w:rsid w:val="2E761BEF"/>
    <w:rsid w:val="2EBB4BEE"/>
    <w:rsid w:val="2F137233"/>
    <w:rsid w:val="2FDA59F2"/>
    <w:rsid w:val="2FEF49C8"/>
    <w:rsid w:val="30393E95"/>
    <w:rsid w:val="306A77ED"/>
    <w:rsid w:val="309B0E6F"/>
    <w:rsid w:val="30E3452C"/>
    <w:rsid w:val="319C6045"/>
    <w:rsid w:val="31B41C0A"/>
    <w:rsid w:val="31B45EC9"/>
    <w:rsid w:val="31BB0FE7"/>
    <w:rsid w:val="31D54EF7"/>
    <w:rsid w:val="31EB11BF"/>
    <w:rsid w:val="32351D06"/>
    <w:rsid w:val="324B2329"/>
    <w:rsid w:val="326B7C1E"/>
    <w:rsid w:val="32A83B15"/>
    <w:rsid w:val="32AE46C6"/>
    <w:rsid w:val="32E6579B"/>
    <w:rsid w:val="33395E7A"/>
    <w:rsid w:val="33454756"/>
    <w:rsid w:val="3345781A"/>
    <w:rsid w:val="33950813"/>
    <w:rsid w:val="33B91786"/>
    <w:rsid w:val="33D60378"/>
    <w:rsid w:val="33EA7980"/>
    <w:rsid w:val="356419B4"/>
    <w:rsid w:val="35F9034E"/>
    <w:rsid w:val="365A27C8"/>
    <w:rsid w:val="3694744F"/>
    <w:rsid w:val="36B978CE"/>
    <w:rsid w:val="373F4487"/>
    <w:rsid w:val="37894282"/>
    <w:rsid w:val="378C2AA9"/>
    <w:rsid w:val="38341477"/>
    <w:rsid w:val="38A6160E"/>
    <w:rsid w:val="38C34C43"/>
    <w:rsid w:val="38C43CA9"/>
    <w:rsid w:val="39495F88"/>
    <w:rsid w:val="39826B31"/>
    <w:rsid w:val="39A6259B"/>
    <w:rsid w:val="3AB4342E"/>
    <w:rsid w:val="3AD44EE6"/>
    <w:rsid w:val="3B781D15"/>
    <w:rsid w:val="3B9052B1"/>
    <w:rsid w:val="3BE55E13"/>
    <w:rsid w:val="3C2D2B00"/>
    <w:rsid w:val="3C4B3FC2"/>
    <w:rsid w:val="3C990FCB"/>
    <w:rsid w:val="3D7E46A8"/>
    <w:rsid w:val="3DA34099"/>
    <w:rsid w:val="3DF81D2A"/>
    <w:rsid w:val="3E1A70B4"/>
    <w:rsid w:val="3E4A79FC"/>
    <w:rsid w:val="3E5E1BF9"/>
    <w:rsid w:val="3E75078E"/>
    <w:rsid w:val="3EA03A5D"/>
    <w:rsid w:val="3ECF1148"/>
    <w:rsid w:val="3EDC25BB"/>
    <w:rsid w:val="3F1F65DD"/>
    <w:rsid w:val="3FB757CD"/>
    <w:rsid w:val="3FB80293"/>
    <w:rsid w:val="3FBD724F"/>
    <w:rsid w:val="3FEE56D0"/>
    <w:rsid w:val="3FFD4EDF"/>
    <w:rsid w:val="40034CE0"/>
    <w:rsid w:val="4045722C"/>
    <w:rsid w:val="407209E5"/>
    <w:rsid w:val="40D7128C"/>
    <w:rsid w:val="40EB11DB"/>
    <w:rsid w:val="41272213"/>
    <w:rsid w:val="413F4786"/>
    <w:rsid w:val="41DF2AEE"/>
    <w:rsid w:val="42162BD2"/>
    <w:rsid w:val="42186000"/>
    <w:rsid w:val="423A5616"/>
    <w:rsid w:val="426923B8"/>
    <w:rsid w:val="42AD0108"/>
    <w:rsid w:val="42CE4911"/>
    <w:rsid w:val="42E12896"/>
    <w:rsid w:val="42E303BC"/>
    <w:rsid w:val="436B215F"/>
    <w:rsid w:val="43703F00"/>
    <w:rsid w:val="43713C1A"/>
    <w:rsid w:val="43F319C0"/>
    <w:rsid w:val="43F53D29"/>
    <w:rsid w:val="44052F6D"/>
    <w:rsid w:val="4458226F"/>
    <w:rsid w:val="445C54F5"/>
    <w:rsid w:val="44867251"/>
    <w:rsid w:val="449A0F4E"/>
    <w:rsid w:val="44CD4E80"/>
    <w:rsid w:val="44ED72D0"/>
    <w:rsid w:val="458A4B1F"/>
    <w:rsid w:val="45B84D5C"/>
    <w:rsid w:val="461C6516"/>
    <w:rsid w:val="46217054"/>
    <w:rsid w:val="46226C7C"/>
    <w:rsid w:val="46254F1A"/>
    <w:rsid w:val="475A0D14"/>
    <w:rsid w:val="47B02837"/>
    <w:rsid w:val="48485148"/>
    <w:rsid w:val="48861F15"/>
    <w:rsid w:val="48A905A4"/>
    <w:rsid w:val="48BB1493"/>
    <w:rsid w:val="49044BE8"/>
    <w:rsid w:val="491D3EFC"/>
    <w:rsid w:val="498D2E30"/>
    <w:rsid w:val="49F45D1E"/>
    <w:rsid w:val="4A154C94"/>
    <w:rsid w:val="4A5C0AFE"/>
    <w:rsid w:val="4A810264"/>
    <w:rsid w:val="4ACB490C"/>
    <w:rsid w:val="4B2D35EC"/>
    <w:rsid w:val="4B3F63AB"/>
    <w:rsid w:val="4B6173B9"/>
    <w:rsid w:val="4BA12BC2"/>
    <w:rsid w:val="4BF1634C"/>
    <w:rsid w:val="4C1A1186"/>
    <w:rsid w:val="4C1E4213"/>
    <w:rsid w:val="4C26121A"/>
    <w:rsid w:val="4C4A468F"/>
    <w:rsid w:val="4C7240D0"/>
    <w:rsid w:val="4C8C2F4B"/>
    <w:rsid w:val="4CA3296A"/>
    <w:rsid w:val="4CA40006"/>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152E0"/>
    <w:rsid w:val="4FEB04D1"/>
    <w:rsid w:val="4FED432F"/>
    <w:rsid w:val="501C315F"/>
    <w:rsid w:val="50760AC1"/>
    <w:rsid w:val="50EC3E2B"/>
    <w:rsid w:val="510032E3"/>
    <w:rsid w:val="511F053B"/>
    <w:rsid w:val="514840EF"/>
    <w:rsid w:val="51B21297"/>
    <w:rsid w:val="51CC46FA"/>
    <w:rsid w:val="51E97071"/>
    <w:rsid w:val="523302EC"/>
    <w:rsid w:val="524547A9"/>
    <w:rsid w:val="525613B6"/>
    <w:rsid w:val="52675B8D"/>
    <w:rsid w:val="52741FD4"/>
    <w:rsid w:val="52B43B6C"/>
    <w:rsid w:val="52C665FD"/>
    <w:rsid w:val="537E1A3B"/>
    <w:rsid w:val="54B55B30"/>
    <w:rsid w:val="54D73EC6"/>
    <w:rsid w:val="54ED444E"/>
    <w:rsid w:val="552D3719"/>
    <w:rsid w:val="55961CE5"/>
    <w:rsid w:val="55E55977"/>
    <w:rsid w:val="56B72E79"/>
    <w:rsid w:val="5730129E"/>
    <w:rsid w:val="574A6804"/>
    <w:rsid w:val="57DF67F9"/>
    <w:rsid w:val="57F56770"/>
    <w:rsid w:val="582C415B"/>
    <w:rsid w:val="585039A6"/>
    <w:rsid w:val="589B5CAA"/>
    <w:rsid w:val="58F702C5"/>
    <w:rsid w:val="58FD5F53"/>
    <w:rsid w:val="596E3654"/>
    <w:rsid w:val="59883613"/>
    <w:rsid w:val="59D74F82"/>
    <w:rsid w:val="5A355549"/>
    <w:rsid w:val="5A807902"/>
    <w:rsid w:val="5AA970C6"/>
    <w:rsid w:val="5AB04BD0"/>
    <w:rsid w:val="5AFA5E4B"/>
    <w:rsid w:val="5B044F1C"/>
    <w:rsid w:val="5B235531"/>
    <w:rsid w:val="5B5F03A4"/>
    <w:rsid w:val="5BB300C0"/>
    <w:rsid w:val="5BC43B2B"/>
    <w:rsid w:val="5C1E200D"/>
    <w:rsid w:val="5C3F2F33"/>
    <w:rsid w:val="5C7E30BB"/>
    <w:rsid w:val="5C7E5810"/>
    <w:rsid w:val="5CA54D24"/>
    <w:rsid w:val="5CD87317"/>
    <w:rsid w:val="5CE70651"/>
    <w:rsid w:val="5D5B41FF"/>
    <w:rsid w:val="5D7F0889"/>
    <w:rsid w:val="5D944335"/>
    <w:rsid w:val="5DBF01BE"/>
    <w:rsid w:val="5DEE5043"/>
    <w:rsid w:val="5DFF2431"/>
    <w:rsid w:val="5E117222"/>
    <w:rsid w:val="5E4775F9"/>
    <w:rsid w:val="5E5674C7"/>
    <w:rsid w:val="5E67480F"/>
    <w:rsid w:val="5EA17159"/>
    <w:rsid w:val="5EEB267A"/>
    <w:rsid w:val="5F8748DA"/>
    <w:rsid w:val="5FBE7D8F"/>
    <w:rsid w:val="5FDE1234"/>
    <w:rsid w:val="60086116"/>
    <w:rsid w:val="60566219"/>
    <w:rsid w:val="607E12CC"/>
    <w:rsid w:val="60C21E5F"/>
    <w:rsid w:val="60E00BE1"/>
    <w:rsid w:val="6171498D"/>
    <w:rsid w:val="61E6537B"/>
    <w:rsid w:val="62001A0A"/>
    <w:rsid w:val="621E2D67"/>
    <w:rsid w:val="628030DA"/>
    <w:rsid w:val="62AA45FB"/>
    <w:rsid w:val="62D33A10"/>
    <w:rsid w:val="62E775FD"/>
    <w:rsid w:val="63604C33"/>
    <w:rsid w:val="63653CAD"/>
    <w:rsid w:val="63B429E0"/>
    <w:rsid w:val="63F7532D"/>
    <w:rsid w:val="643407A7"/>
    <w:rsid w:val="64656A2B"/>
    <w:rsid w:val="647B1A55"/>
    <w:rsid w:val="64DB0A9B"/>
    <w:rsid w:val="65561E5B"/>
    <w:rsid w:val="6573295C"/>
    <w:rsid w:val="6582360D"/>
    <w:rsid w:val="65931DA1"/>
    <w:rsid w:val="65B5026D"/>
    <w:rsid w:val="65B50990"/>
    <w:rsid w:val="65C14135"/>
    <w:rsid w:val="65C23A09"/>
    <w:rsid w:val="65D17642"/>
    <w:rsid w:val="660404C6"/>
    <w:rsid w:val="661701F9"/>
    <w:rsid w:val="66292968"/>
    <w:rsid w:val="667761EE"/>
    <w:rsid w:val="667E72FC"/>
    <w:rsid w:val="6681309D"/>
    <w:rsid w:val="669D6869"/>
    <w:rsid w:val="66EB7B2A"/>
    <w:rsid w:val="67201A8D"/>
    <w:rsid w:val="673E0C66"/>
    <w:rsid w:val="675170DC"/>
    <w:rsid w:val="675F33B7"/>
    <w:rsid w:val="67F91775"/>
    <w:rsid w:val="68103152"/>
    <w:rsid w:val="68A13DAA"/>
    <w:rsid w:val="68A25790"/>
    <w:rsid w:val="68CC52CB"/>
    <w:rsid w:val="69643755"/>
    <w:rsid w:val="69DC26B1"/>
    <w:rsid w:val="6A184540"/>
    <w:rsid w:val="6A2151A2"/>
    <w:rsid w:val="6A373075"/>
    <w:rsid w:val="6A5C61DA"/>
    <w:rsid w:val="6A665113"/>
    <w:rsid w:val="6AF74490"/>
    <w:rsid w:val="6B144E28"/>
    <w:rsid w:val="6BFF59B7"/>
    <w:rsid w:val="6C177B6C"/>
    <w:rsid w:val="6C403671"/>
    <w:rsid w:val="6C6B4DFB"/>
    <w:rsid w:val="6C6D4A58"/>
    <w:rsid w:val="6CB00AF9"/>
    <w:rsid w:val="6CCD33BF"/>
    <w:rsid w:val="6D154D66"/>
    <w:rsid w:val="6D1E49F0"/>
    <w:rsid w:val="6D905053"/>
    <w:rsid w:val="6DD469CF"/>
    <w:rsid w:val="6E542593"/>
    <w:rsid w:val="6E573888"/>
    <w:rsid w:val="6EA43AB0"/>
    <w:rsid w:val="6ECD3B4B"/>
    <w:rsid w:val="6ED8429D"/>
    <w:rsid w:val="6F556684"/>
    <w:rsid w:val="6F870EF5"/>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4E9556B"/>
    <w:rsid w:val="755C628B"/>
    <w:rsid w:val="755E58D5"/>
    <w:rsid w:val="755F74C6"/>
    <w:rsid w:val="75995B4F"/>
    <w:rsid w:val="76036494"/>
    <w:rsid w:val="761360D7"/>
    <w:rsid w:val="762439FD"/>
    <w:rsid w:val="76277FE4"/>
    <w:rsid w:val="76312C11"/>
    <w:rsid w:val="76375D4D"/>
    <w:rsid w:val="76992E80"/>
    <w:rsid w:val="769E7490"/>
    <w:rsid w:val="76C3048F"/>
    <w:rsid w:val="76DB4984"/>
    <w:rsid w:val="76DE455C"/>
    <w:rsid w:val="77D00208"/>
    <w:rsid w:val="77D5581E"/>
    <w:rsid w:val="77D9530E"/>
    <w:rsid w:val="77F03ED5"/>
    <w:rsid w:val="77FC0FFD"/>
    <w:rsid w:val="78630157"/>
    <w:rsid w:val="78A44248"/>
    <w:rsid w:val="78BF7473"/>
    <w:rsid w:val="78C935D5"/>
    <w:rsid w:val="78C95383"/>
    <w:rsid w:val="794E57F6"/>
    <w:rsid w:val="79972073"/>
    <w:rsid w:val="79BF70EF"/>
    <w:rsid w:val="7A195E96"/>
    <w:rsid w:val="7A3E58FC"/>
    <w:rsid w:val="7A434CC1"/>
    <w:rsid w:val="7A9A058E"/>
    <w:rsid w:val="7AB6266E"/>
    <w:rsid w:val="7ADB139D"/>
    <w:rsid w:val="7B68601A"/>
    <w:rsid w:val="7B713AB0"/>
    <w:rsid w:val="7BAB3527"/>
    <w:rsid w:val="7BC13CD3"/>
    <w:rsid w:val="7BE349AD"/>
    <w:rsid w:val="7C38637B"/>
    <w:rsid w:val="7C451AD7"/>
    <w:rsid w:val="7C4C159F"/>
    <w:rsid w:val="7C857813"/>
    <w:rsid w:val="7CC935D6"/>
    <w:rsid w:val="7D202ADF"/>
    <w:rsid w:val="7DE25B31"/>
    <w:rsid w:val="7E1F77F3"/>
    <w:rsid w:val="7E920A44"/>
    <w:rsid w:val="7E9D2BEE"/>
    <w:rsid w:val="7F344983"/>
    <w:rsid w:val="7F361298"/>
    <w:rsid w:val="7F4E65E2"/>
    <w:rsid w:val="7F8F6BFA"/>
    <w:rsid w:val="7FA513FD"/>
    <w:rsid w:val="7FA77AA0"/>
    <w:rsid w:val="7FAC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pPr>
  </w:style>
  <w:style w:type="paragraph" w:styleId="7">
    <w:name w:val="Body Text Indent"/>
    <w:basedOn w:val="1"/>
    <w:next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Balloon Text"/>
    <w:basedOn w:val="1"/>
    <w:link w:val="33"/>
    <w:qFormat/>
    <w:uiPriority w:val="0"/>
    <w:rPr>
      <w:sz w:val="18"/>
      <w:szCs w:val="1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2"/>
    <w:basedOn w:val="1"/>
    <w:next w:val="1"/>
    <w:qFormat/>
    <w:uiPriority w:val="0"/>
    <w:pPr>
      <w:ind w:left="200" w:leftChars="200"/>
    </w:p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6"/>
    <w:next w:val="1"/>
    <w:qFormat/>
    <w:uiPriority w:val="0"/>
    <w:pPr>
      <w:ind w:firstLine="420" w:firstLineChars="100"/>
    </w:pPr>
    <w:rPr>
      <w:b/>
      <w:bCs/>
    </w:rPr>
  </w:style>
  <w:style w:type="paragraph" w:styleId="18">
    <w:name w:val="Body Text First Indent 2"/>
    <w:basedOn w:val="7"/>
    <w:next w:val="1"/>
    <w:qFormat/>
    <w:uiPriority w:val="0"/>
    <w:pPr>
      <w:spacing w:after="120"/>
      <w:ind w:left="420" w:leftChars="200" w:firstLine="420"/>
    </w:pPr>
    <w:rPr>
      <w:rFonts w:cs="宋体"/>
      <w:sz w:val="21"/>
      <w:szCs w:val="21"/>
    </w:rPr>
  </w:style>
  <w:style w:type="table" w:styleId="20">
    <w:name w:val="Table Grid"/>
    <w:basedOn w:val="19"/>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paragraph" w:customStyle="1" w:styleId="23">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4">
    <w:name w:val="标题 1 字符"/>
    <w:link w:val="2"/>
    <w:qFormat/>
    <w:uiPriority w:val="0"/>
    <w:rPr>
      <w:rFonts w:eastAsia="黑体"/>
      <w:b/>
      <w:sz w:val="32"/>
      <w:szCs w:val="20"/>
    </w:rPr>
  </w:style>
  <w:style w:type="paragraph" w:styleId="25">
    <w:name w:val="List Paragraph"/>
    <w:basedOn w:val="1"/>
    <w:qFormat/>
    <w:uiPriority w:val="0"/>
    <w:pPr>
      <w:ind w:firstLine="420" w:firstLineChars="200"/>
    </w:pPr>
    <w:rPr>
      <w:rFonts w:ascii="Calibri" w:hAnsi="Calibri"/>
      <w:szCs w:val="22"/>
    </w:rPr>
  </w:style>
  <w:style w:type="paragraph" w:customStyle="1" w:styleId="26">
    <w:name w:val="保留正文"/>
    <w:basedOn w:val="6"/>
    <w:qFormat/>
    <w:uiPriority w:val="0"/>
  </w:style>
  <w:style w:type="table" w:customStyle="1" w:styleId="27">
    <w:name w:val="Table Normal"/>
    <w:unhideWhenUsed/>
    <w:qFormat/>
    <w:uiPriority w:val="0"/>
    <w:tblPr>
      <w:tblCellMar>
        <w:top w:w="0" w:type="dxa"/>
        <w:left w:w="0" w:type="dxa"/>
        <w:bottom w:w="0" w:type="dxa"/>
        <w:right w:w="0" w:type="dxa"/>
      </w:tblCellMar>
    </w:tblPr>
  </w:style>
  <w:style w:type="paragraph" w:customStyle="1" w:styleId="28">
    <w:name w:val="Table Text"/>
    <w:basedOn w:val="1"/>
    <w:semiHidden/>
    <w:qFormat/>
    <w:uiPriority w:val="0"/>
    <w:rPr>
      <w:rFonts w:ascii="宋体" w:hAnsi="宋体" w:cs="宋体"/>
      <w:szCs w:val="21"/>
      <w:lang w:eastAsia="en-US"/>
    </w:rPr>
  </w:style>
  <w:style w:type="paragraph" w:customStyle="1" w:styleId="29">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30">
    <w:name w:val="列出段落1"/>
    <w:basedOn w:val="1"/>
    <w:qFormat/>
    <w:uiPriority w:val="0"/>
    <w:pPr>
      <w:ind w:firstLine="420" w:firstLineChars="200"/>
    </w:pPr>
    <w:rPr>
      <w:szCs w:val="21"/>
    </w:rPr>
  </w:style>
  <w:style w:type="paragraph" w:customStyle="1" w:styleId="31">
    <w:name w:val="_Style 101"/>
    <w:basedOn w:val="7"/>
    <w:next w:val="18"/>
    <w:autoRedefine/>
    <w:qFormat/>
    <w:uiPriority w:val="0"/>
    <w:pPr>
      <w:ind w:firstLine="420" w:firstLineChars="200"/>
    </w:pPr>
  </w:style>
  <w:style w:type="character" w:customStyle="1" w:styleId="32">
    <w:name w:val="font01"/>
    <w:basedOn w:val="21"/>
    <w:qFormat/>
    <w:uiPriority w:val="0"/>
    <w:rPr>
      <w:rFonts w:hint="eastAsia" w:ascii="宋体" w:hAnsi="宋体" w:eastAsia="宋体" w:cs="宋体"/>
      <w:color w:val="000000"/>
      <w:sz w:val="24"/>
      <w:szCs w:val="24"/>
      <w:u w:val="none"/>
    </w:rPr>
  </w:style>
  <w:style w:type="character" w:customStyle="1" w:styleId="33">
    <w:name w:val="批注框文本 字符"/>
    <w:basedOn w:val="21"/>
    <w:link w:val="11"/>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1227</Words>
  <Characters>1322</Characters>
  <Lines>72</Lines>
  <Paragraphs>20</Paragraphs>
  <TotalTime>3</TotalTime>
  <ScaleCrop>false</ScaleCrop>
  <LinksUpToDate>false</LinksUpToDate>
  <CharactersWithSpaces>1454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2025-08-15T06:04:00Z</dcterms:created>
  <dc:creator>丶梦里寻她千百度ミ</dc:creator>
  <cp:lastModifiedBy>朱冯</cp:lastModifiedBy>
  <cp:lastPrinted>2025-08-07T02:03:00Z</cp:lastPrinted>
  <dcterms:modified xsi:type="dcterms:W3CDTF">2025-08-26T00:57:57Z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y fmtid="{D5CDD505-2E9C-101B-9397-08002B2CF9AE}" pid="5" name="KSOTemplateDocerSaveRecord">
    <vt:lpwstr>eyJoZGlkIjoiMzQ1NWE4MzgzMzNiMjhmZmMxMDNlZjM0NGE0Mjk3N2MiLCJ1c2VySWQiOiIxNjI5OTU5MzQxIn0=</vt:lpwstr>
  </property>
</Properties>
</file>