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AB78A2B">
      <w:pPr>
        <w:jc w:val="center"/>
        <w:rPr>
          <w:rFonts w:ascii="新宋体" w:hAnsi="新宋体" w:eastAsia="新宋体" w:cs="新宋体"/>
          <w:b/>
          <w:bCs/>
          <w:spacing w:val="30"/>
          <w:sz w:val="52"/>
          <w:szCs w:val="52"/>
        </w:rPr>
      </w:pPr>
    </w:p>
    <w:p w14:paraId="78D17694">
      <w:pPr>
        <w:jc w:val="center"/>
        <w:rPr>
          <w:rFonts w:ascii="新宋体" w:hAnsi="新宋体" w:eastAsia="新宋体"/>
          <w:b/>
          <w:bCs/>
          <w:spacing w:val="140"/>
          <w:sz w:val="60"/>
          <w:szCs w:val="22"/>
        </w:rPr>
      </w:pPr>
      <w:r>
        <w:rPr>
          <w:rFonts w:hint="eastAsia" w:ascii="新宋体" w:hAnsi="新宋体" w:eastAsia="新宋体" w:cs="新宋体"/>
          <w:b/>
          <w:bCs/>
          <w:spacing w:val="30"/>
          <w:sz w:val="52"/>
          <w:szCs w:val="52"/>
        </w:rPr>
        <w:t>温 州 市 第 七 人 民 医 院</w:t>
      </w:r>
    </w:p>
    <w:p w14:paraId="4044A183">
      <w:pPr>
        <w:adjustRightInd w:val="0"/>
        <w:snapToGrid w:val="0"/>
        <w:spacing w:line="480" w:lineRule="auto"/>
        <w:ind w:right="361"/>
        <w:rPr>
          <w:rFonts w:ascii="新宋体" w:hAnsi="新宋体" w:eastAsia="新宋体"/>
          <w:b/>
          <w:bCs/>
          <w:sz w:val="84"/>
          <w:szCs w:val="84"/>
        </w:rPr>
      </w:pPr>
    </w:p>
    <w:p w14:paraId="04A9C9EC">
      <w:pPr>
        <w:adjustRightInd w:val="0"/>
        <w:snapToGrid w:val="0"/>
        <w:spacing w:line="480" w:lineRule="auto"/>
        <w:ind w:right="361"/>
        <w:jc w:val="center"/>
        <w:rPr>
          <w:rFonts w:ascii="新宋体" w:hAnsi="新宋体" w:eastAsia="新宋体"/>
          <w:sz w:val="84"/>
          <w:szCs w:val="84"/>
        </w:rPr>
      </w:pPr>
      <w:r>
        <w:rPr>
          <w:rFonts w:hint="eastAsia" w:ascii="新宋体" w:hAnsi="新宋体" w:eastAsia="新宋体"/>
          <w:b/>
          <w:bCs/>
          <w:sz w:val="84"/>
          <w:szCs w:val="84"/>
        </w:rPr>
        <w:t>比 选 文 件</w:t>
      </w:r>
    </w:p>
    <w:p w14:paraId="26EDA0BD">
      <w:pPr>
        <w:ind w:firstLine="1140" w:firstLineChars="300"/>
        <w:rPr>
          <w:rFonts w:ascii="新宋体" w:hAnsi="新宋体" w:eastAsia="新宋体"/>
          <w:spacing w:val="40"/>
          <w:sz w:val="30"/>
          <w:szCs w:val="30"/>
        </w:rPr>
      </w:pPr>
    </w:p>
    <w:p w14:paraId="74311664">
      <w:pPr>
        <w:ind w:firstLine="1140" w:firstLineChars="300"/>
        <w:rPr>
          <w:rFonts w:ascii="新宋体" w:hAnsi="新宋体" w:eastAsia="新宋体"/>
          <w:spacing w:val="40"/>
          <w:sz w:val="30"/>
          <w:szCs w:val="30"/>
        </w:rPr>
      </w:pPr>
    </w:p>
    <w:p w14:paraId="2BF228B7">
      <w:pPr>
        <w:ind w:firstLine="1140" w:firstLineChars="300"/>
        <w:rPr>
          <w:rFonts w:ascii="新宋体" w:hAnsi="新宋体" w:eastAsia="新宋体"/>
          <w:spacing w:val="40"/>
          <w:sz w:val="30"/>
          <w:szCs w:val="30"/>
        </w:rPr>
      </w:pPr>
    </w:p>
    <w:p w14:paraId="533C306B">
      <w:pPr>
        <w:adjustRightInd w:val="0"/>
        <w:snapToGrid w:val="0"/>
        <w:spacing w:line="720" w:lineRule="auto"/>
        <w:ind w:left="3913" w:leftChars="912" w:hanging="1998" w:hangingChars="498"/>
        <w:jc w:val="left"/>
        <w:rPr>
          <w:rFonts w:ascii="宋体" w:hAnsi="宋体" w:cs="宋体"/>
          <w:b/>
          <w:bCs/>
          <w:spacing w:val="40"/>
          <w:sz w:val="32"/>
          <w:szCs w:val="32"/>
        </w:rPr>
      </w:pPr>
      <w:r>
        <w:rPr>
          <w:rFonts w:hint="eastAsia" w:ascii="宋体" w:hAnsi="宋体" w:cs="宋体"/>
          <w:b/>
          <w:bCs/>
          <w:spacing w:val="40"/>
          <w:sz w:val="32"/>
          <w:szCs w:val="32"/>
        </w:rPr>
        <w:t>项目名称：数据库字段加密服务采购项目</w:t>
      </w:r>
    </w:p>
    <w:p w14:paraId="67D5C0DE">
      <w:pPr>
        <w:adjustRightInd w:val="0"/>
        <w:snapToGrid w:val="0"/>
        <w:spacing w:line="720" w:lineRule="auto"/>
        <w:ind w:firstLine="2026" w:firstLineChars="505"/>
        <w:rPr>
          <w:rFonts w:ascii="宋体" w:hAnsi="宋体" w:cs="宋体"/>
          <w:b/>
          <w:bCs/>
          <w:sz w:val="32"/>
          <w:szCs w:val="32"/>
        </w:rPr>
      </w:pPr>
      <w:r>
        <w:rPr>
          <w:rFonts w:hint="eastAsia" w:ascii="宋体" w:hAnsi="宋体" w:cs="宋体"/>
          <w:b/>
          <w:bCs/>
          <w:spacing w:val="40"/>
          <w:sz w:val="32"/>
          <w:szCs w:val="32"/>
        </w:rPr>
        <w:t>采购方式：</w:t>
      </w:r>
      <w:r>
        <w:rPr>
          <w:rFonts w:hint="eastAsia" w:ascii="宋体" w:hAnsi="宋体" w:cs="宋体"/>
          <w:b/>
          <w:bCs/>
          <w:color w:val="000000"/>
          <w:kern w:val="0"/>
          <w:sz w:val="32"/>
          <w:szCs w:val="32"/>
        </w:rPr>
        <w:t>公开比选</w:t>
      </w:r>
    </w:p>
    <w:p w14:paraId="3AF8F7C7">
      <w:pPr>
        <w:adjustRightInd w:val="0"/>
        <w:snapToGrid w:val="0"/>
        <w:spacing w:line="720" w:lineRule="auto"/>
        <w:ind w:firstLine="2026" w:firstLineChars="505"/>
        <w:rPr>
          <w:rFonts w:ascii="宋体" w:hAnsi="宋体" w:cs="宋体"/>
          <w:b/>
          <w:bCs/>
          <w:spacing w:val="30"/>
          <w:sz w:val="32"/>
          <w:szCs w:val="32"/>
        </w:rPr>
      </w:pPr>
      <w:r>
        <w:rPr>
          <w:rFonts w:hint="eastAsia" w:ascii="宋体" w:hAnsi="宋体" w:cs="宋体"/>
          <w:b/>
          <w:bCs/>
          <w:spacing w:val="40"/>
          <w:sz w:val="32"/>
          <w:szCs w:val="32"/>
        </w:rPr>
        <w:t>招 标 人：</w:t>
      </w:r>
      <w:r>
        <w:rPr>
          <w:rFonts w:hint="eastAsia" w:ascii="宋体" w:hAnsi="宋体" w:cs="宋体"/>
          <w:b/>
          <w:bCs/>
          <w:spacing w:val="30"/>
          <w:sz w:val="32"/>
          <w:szCs w:val="32"/>
        </w:rPr>
        <w:t>温州市第七人民医院</w:t>
      </w:r>
    </w:p>
    <w:p w14:paraId="653ADF17">
      <w:pPr>
        <w:adjustRightInd w:val="0"/>
        <w:snapToGrid w:val="0"/>
        <w:spacing w:line="720" w:lineRule="auto"/>
        <w:ind w:firstLine="2026" w:firstLineChars="505"/>
        <w:rPr>
          <w:rFonts w:ascii="新宋体" w:hAnsi="新宋体" w:eastAsia="新宋体"/>
          <w:b/>
          <w:bCs/>
          <w:spacing w:val="40"/>
          <w:sz w:val="32"/>
          <w:szCs w:val="28"/>
        </w:rPr>
      </w:pPr>
      <w:r>
        <w:rPr>
          <w:rFonts w:hint="eastAsia" w:ascii="宋体" w:hAnsi="宋体" w:cs="宋体"/>
          <w:b/>
          <w:bCs/>
          <w:spacing w:val="40"/>
          <w:sz w:val="32"/>
          <w:szCs w:val="32"/>
        </w:rPr>
        <w:t>采购日期：</w:t>
      </w:r>
      <w:r>
        <w:rPr>
          <w:rFonts w:hint="eastAsia" w:ascii="新宋体" w:hAnsi="新宋体" w:eastAsia="新宋体"/>
          <w:b/>
          <w:bCs/>
          <w:spacing w:val="40"/>
          <w:sz w:val="32"/>
          <w:szCs w:val="28"/>
        </w:rPr>
        <w:t>二〇二五年</w:t>
      </w:r>
      <w:r>
        <w:rPr>
          <w:rFonts w:hint="eastAsia" w:ascii="新宋体" w:hAnsi="新宋体" w:eastAsia="新宋体"/>
          <w:b/>
          <w:bCs/>
          <w:spacing w:val="40"/>
          <w:sz w:val="32"/>
          <w:szCs w:val="28"/>
          <w:lang w:eastAsia="zh-CN"/>
        </w:rPr>
        <w:t>九</w:t>
      </w:r>
      <w:r>
        <w:rPr>
          <w:rFonts w:hint="eastAsia" w:ascii="新宋体" w:hAnsi="新宋体" w:eastAsia="新宋体"/>
          <w:b/>
          <w:bCs/>
          <w:spacing w:val="40"/>
          <w:sz w:val="32"/>
          <w:szCs w:val="28"/>
        </w:rPr>
        <w:t>月</w:t>
      </w:r>
    </w:p>
    <w:p w14:paraId="40D33707">
      <w:pPr>
        <w:pStyle w:val="4"/>
      </w:pPr>
    </w:p>
    <w:p w14:paraId="4DB5B5CD">
      <w:pPr>
        <w:pStyle w:val="2"/>
        <w:numPr>
          <w:ilvl w:val="0"/>
          <w:numId w:val="0"/>
        </w:numPr>
        <w:rPr>
          <w:rFonts w:ascii="宋体" w:hAnsi="宋体" w:eastAsia="宋体" w:cs="宋体"/>
          <w:b w:val="0"/>
          <w:bCs/>
          <w:color w:val="000000"/>
          <w:sz w:val="36"/>
          <w:szCs w:val="21"/>
        </w:rPr>
      </w:pPr>
      <w:r>
        <w:rPr>
          <w:rFonts w:hint="eastAsia" w:ascii="宋体" w:hAnsi="宋体" w:eastAsia="宋体" w:cs="宋体"/>
          <w:b w:val="0"/>
          <w:bCs/>
          <w:color w:val="000000"/>
          <w:sz w:val="36"/>
          <w:szCs w:val="21"/>
        </w:rPr>
        <w:t>招标公告</w:t>
      </w:r>
    </w:p>
    <w:p w14:paraId="5E06E255">
      <w:pPr>
        <w:pStyle w:val="15"/>
        <w:shd w:val="clear" w:color="auto" w:fill="FFFFFF"/>
        <w:adjustRightInd w:val="0"/>
        <w:snapToGrid w:val="0"/>
        <w:spacing w:before="0" w:beforeAutospacing="0" w:after="0" w:afterAutospacing="0" w:line="360" w:lineRule="auto"/>
        <w:jc w:val="both"/>
        <w:rPr>
          <w:color w:val="000000"/>
        </w:rPr>
      </w:pPr>
    </w:p>
    <w:p w14:paraId="05905AF2">
      <w:pPr>
        <w:pStyle w:val="15"/>
        <w:shd w:val="clear" w:color="auto" w:fill="FFFFFF"/>
        <w:adjustRightInd w:val="0"/>
        <w:snapToGrid w:val="0"/>
        <w:spacing w:before="0" w:beforeAutospacing="0" w:after="0" w:afterAutospacing="0" w:line="400" w:lineRule="exact"/>
        <w:ind w:firstLine="480" w:firstLineChars="200"/>
        <w:jc w:val="both"/>
        <w:rPr>
          <w:color w:val="000000"/>
        </w:rPr>
      </w:pPr>
      <w:r>
        <w:rPr>
          <w:rFonts w:hint="eastAsia"/>
          <w:color w:val="000000"/>
        </w:rPr>
        <w:t>现对温州市第七人民医院</w:t>
      </w:r>
      <w:r>
        <w:rPr>
          <w:rFonts w:hint="eastAsia"/>
          <w:color w:val="000000"/>
          <w:u w:val="single"/>
        </w:rPr>
        <w:t xml:space="preserve"> 数据库字段加密服务采购项目 </w:t>
      </w:r>
      <w:r>
        <w:rPr>
          <w:rFonts w:hint="eastAsia"/>
          <w:color w:val="000000"/>
        </w:rPr>
        <w:t>进行公开比选，我们诚恳地邀请有资质的单位参加投标，并请按比选文件的要求认真准备按时前来投标。</w:t>
      </w:r>
    </w:p>
    <w:p w14:paraId="3ADCC44C">
      <w:pPr>
        <w:pStyle w:val="15"/>
        <w:shd w:val="clear" w:color="auto" w:fill="FFFFFF"/>
        <w:adjustRightInd w:val="0"/>
        <w:snapToGrid w:val="0"/>
        <w:spacing w:before="0" w:beforeAutospacing="0" w:after="0" w:afterAutospacing="0" w:line="400" w:lineRule="exact"/>
        <w:ind w:firstLine="482" w:firstLineChars="200"/>
        <w:rPr>
          <w:b/>
          <w:bCs/>
          <w:color w:val="000000"/>
        </w:rPr>
      </w:pPr>
      <w:r>
        <w:rPr>
          <w:rFonts w:hint="eastAsia"/>
          <w:b/>
          <w:bCs/>
          <w:color w:val="000000"/>
        </w:rPr>
        <w:t>一、项目基本情况</w:t>
      </w:r>
    </w:p>
    <w:p w14:paraId="7BC30F1C">
      <w:pPr>
        <w:pStyle w:val="15"/>
        <w:shd w:val="clear" w:color="auto" w:fill="FFFFFF"/>
        <w:adjustRightInd w:val="0"/>
        <w:snapToGrid w:val="0"/>
        <w:spacing w:before="0" w:beforeAutospacing="0" w:after="0" w:afterAutospacing="0" w:line="400" w:lineRule="exact"/>
        <w:ind w:firstLine="480" w:firstLineChars="200"/>
        <w:jc w:val="both"/>
        <w:rPr>
          <w:color w:val="000000"/>
          <w:u w:val="single"/>
        </w:rPr>
      </w:pPr>
      <w:r>
        <w:rPr>
          <w:rFonts w:hint="eastAsia"/>
          <w:color w:val="000000"/>
        </w:rPr>
        <w:t>项目名称：</w:t>
      </w:r>
      <w:r>
        <w:rPr>
          <w:rFonts w:hint="eastAsia"/>
          <w:color w:val="000000"/>
          <w:u w:val="single"/>
        </w:rPr>
        <w:t xml:space="preserve"> 数据库字段加密服务采购项目 </w:t>
      </w:r>
    </w:p>
    <w:p w14:paraId="56294008">
      <w:pPr>
        <w:pStyle w:val="15"/>
        <w:shd w:val="clear" w:color="auto" w:fill="FFFFFF"/>
        <w:adjustRightInd w:val="0"/>
        <w:snapToGrid w:val="0"/>
        <w:spacing w:before="0" w:beforeAutospacing="0" w:after="0" w:afterAutospacing="0" w:line="400" w:lineRule="exact"/>
        <w:ind w:firstLine="480" w:firstLineChars="200"/>
        <w:jc w:val="both"/>
        <w:rPr>
          <w:rFonts w:eastAsiaTheme="majorEastAsia"/>
          <w:color w:val="000000"/>
        </w:rPr>
      </w:pPr>
      <w:r>
        <w:rPr>
          <w:rFonts w:hint="eastAsia" w:asciiTheme="majorEastAsia" w:hAnsiTheme="majorEastAsia" w:eastAsiaTheme="majorEastAsia" w:cstheme="majorEastAsia"/>
        </w:rPr>
        <w:t>预算金额：</w:t>
      </w:r>
      <w:r>
        <w:rPr>
          <w:rFonts w:hint="eastAsia" w:asciiTheme="majorEastAsia" w:hAnsiTheme="majorEastAsia" w:eastAsiaTheme="majorEastAsia" w:cstheme="majorEastAsia"/>
          <w:u w:val="single"/>
        </w:rPr>
        <w:t xml:space="preserve"> 50000元  </w:t>
      </w:r>
    </w:p>
    <w:p w14:paraId="6755F16B">
      <w:pPr>
        <w:pStyle w:val="15"/>
        <w:shd w:val="clear" w:color="auto" w:fill="FFFFFF"/>
        <w:adjustRightInd w:val="0"/>
        <w:snapToGrid w:val="0"/>
        <w:spacing w:before="0" w:beforeAutospacing="0" w:after="0" w:afterAutospacing="0" w:line="400" w:lineRule="exact"/>
        <w:ind w:firstLine="480" w:firstLineChars="200"/>
        <w:jc w:val="both"/>
        <w:rPr>
          <w:color w:val="000000"/>
        </w:rPr>
      </w:pPr>
      <w:r>
        <w:rPr>
          <w:rFonts w:hint="eastAsia"/>
          <w:color w:val="000000"/>
        </w:rPr>
        <w:t>比选内容：详细内容见比选内容及要求</w:t>
      </w:r>
    </w:p>
    <w:p w14:paraId="1E34EE50">
      <w:pPr>
        <w:pStyle w:val="15"/>
        <w:shd w:val="clear" w:color="auto" w:fill="FFFFFF"/>
        <w:adjustRightInd w:val="0"/>
        <w:snapToGrid w:val="0"/>
        <w:spacing w:before="0" w:beforeAutospacing="0" w:after="0" w:afterAutospacing="0" w:line="400" w:lineRule="exact"/>
        <w:ind w:firstLine="482" w:firstLineChars="200"/>
        <w:rPr>
          <w:rStyle w:val="21"/>
          <w:color w:val="000000"/>
          <w:shd w:val="clear" w:color="auto" w:fill="FFFFFF"/>
        </w:rPr>
      </w:pPr>
      <w:r>
        <w:rPr>
          <w:rStyle w:val="21"/>
          <w:rFonts w:hint="eastAsia"/>
          <w:color w:val="000000"/>
          <w:shd w:val="clear" w:color="auto" w:fill="FFFFFF"/>
        </w:rPr>
        <w:t>投标人报价不得超过最高限价金额，否则当无效标处理。</w:t>
      </w:r>
    </w:p>
    <w:p w14:paraId="4E89FF6D">
      <w:pPr>
        <w:pStyle w:val="15"/>
        <w:shd w:val="clear" w:color="auto" w:fill="FFFFFF"/>
        <w:adjustRightInd w:val="0"/>
        <w:snapToGrid w:val="0"/>
        <w:spacing w:before="0" w:beforeAutospacing="0" w:after="0" w:afterAutospacing="0" w:line="400" w:lineRule="exact"/>
        <w:ind w:firstLine="482" w:firstLineChars="200"/>
        <w:rPr>
          <w:color w:val="000000"/>
        </w:rPr>
      </w:pPr>
      <w:r>
        <w:rPr>
          <w:rFonts w:hint="eastAsia"/>
          <w:b/>
          <w:bCs/>
          <w:color w:val="000000"/>
        </w:rPr>
        <w:t>二、</w:t>
      </w:r>
      <w:r>
        <w:rPr>
          <w:rFonts w:hint="eastAsia"/>
          <w:color w:val="000000"/>
        </w:rPr>
        <w:t>申请人资格要求：</w:t>
      </w:r>
    </w:p>
    <w:p w14:paraId="28E2ABE3">
      <w:pPr>
        <w:pStyle w:val="15"/>
        <w:shd w:val="clear" w:color="auto" w:fill="FFFFFF"/>
        <w:adjustRightInd w:val="0"/>
        <w:snapToGrid w:val="0"/>
        <w:spacing w:before="0" w:beforeAutospacing="0" w:after="0" w:afterAutospacing="0" w:line="400" w:lineRule="exact"/>
        <w:ind w:firstLine="480" w:firstLineChars="200"/>
        <w:rPr>
          <w:color w:val="000000"/>
        </w:rPr>
      </w:pPr>
      <w:r>
        <w:rPr>
          <w:rFonts w:hint="eastAsia"/>
          <w:color w:val="000000"/>
          <w:shd w:val="clear" w:color="auto" w:fill="FFFFFF"/>
        </w:rPr>
        <w:t>1、符合《中华人民共和国政府采购法》第二十二条的规定：</w:t>
      </w:r>
    </w:p>
    <w:p w14:paraId="5929D504">
      <w:pPr>
        <w:pStyle w:val="15"/>
        <w:shd w:val="clear" w:color="auto" w:fill="FFFFFF"/>
        <w:adjustRightInd w:val="0"/>
        <w:snapToGrid w:val="0"/>
        <w:spacing w:before="0" w:beforeAutospacing="0" w:after="0" w:afterAutospacing="0" w:line="400" w:lineRule="exact"/>
        <w:ind w:firstLine="480" w:firstLineChars="200"/>
        <w:rPr>
          <w:color w:val="000000"/>
          <w:shd w:val="clear" w:color="auto" w:fill="FFFFFF"/>
        </w:rPr>
      </w:pPr>
      <w:r>
        <w:rPr>
          <w:rFonts w:hint="eastAsia"/>
          <w:color w:val="000000"/>
          <w:shd w:val="clear" w:color="auto" w:fill="FFFFFF"/>
        </w:rPr>
        <w:t>（1）具有独立承担民事责任的能力；</w:t>
      </w:r>
    </w:p>
    <w:p w14:paraId="5F14C544">
      <w:pPr>
        <w:pStyle w:val="15"/>
        <w:shd w:val="clear" w:color="auto" w:fill="FFFFFF"/>
        <w:adjustRightInd w:val="0"/>
        <w:snapToGrid w:val="0"/>
        <w:spacing w:before="0" w:beforeAutospacing="0" w:after="0" w:afterAutospacing="0" w:line="400" w:lineRule="exact"/>
        <w:ind w:firstLine="480" w:firstLineChars="200"/>
        <w:rPr>
          <w:color w:val="000000"/>
          <w:shd w:val="clear" w:color="auto" w:fill="FFFFFF"/>
        </w:rPr>
      </w:pPr>
      <w:r>
        <w:rPr>
          <w:rFonts w:hint="eastAsia"/>
          <w:color w:val="000000"/>
          <w:shd w:val="clear" w:color="auto" w:fill="FFFFFF"/>
        </w:rPr>
        <w:t>（2）法定代表人授权书及身份证复印件、投标人代表有效身份证件</w:t>
      </w:r>
      <w:r>
        <w:rPr>
          <w:rFonts w:hint="eastAsia"/>
          <w:b/>
          <w:bCs/>
          <w:color w:val="000000"/>
          <w:shd w:val="clear" w:color="auto" w:fill="FFFFFF"/>
        </w:rPr>
        <w:t>原件及复印件</w:t>
      </w:r>
      <w:r>
        <w:rPr>
          <w:rFonts w:hint="eastAsia"/>
          <w:color w:val="000000"/>
          <w:shd w:val="clear" w:color="auto" w:fill="FFFFFF"/>
        </w:rPr>
        <w:t>、企业营业执照复印件（以上均需加盖公章）；</w:t>
      </w:r>
      <w:r>
        <w:rPr>
          <w:rFonts w:hint="eastAsia"/>
          <w:color w:val="000000"/>
        </w:rPr>
        <w:t>（</w:t>
      </w:r>
      <w:r>
        <w:rPr>
          <w:rFonts w:hint="eastAsia"/>
          <w:b/>
          <w:bCs/>
          <w:color w:val="000000"/>
        </w:rPr>
        <w:t>投标文件递交时提供</w:t>
      </w:r>
      <w:r>
        <w:rPr>
          <w:rFonts w:hint="eastAsia"/>
          <w:color w:val="000000"/>
        </w:rPr>
        <w:t>）</w:t>
      </w:r>
    </w:p>
    <w:p w14:paraId="1434DC59">
      <w:pPr>
        <w:pStyle w:val="15"/>
        <w:shd w:val="clear" w:color="auto" w:fill="FFFFFF"/>
        <w:adjustRightInd w:val="0"/>
        <w:snapToGrid w:val="0"/>
        <w:spacing w:before="0" w:beforeAutospacing="0" w:after="0" w:afterAutospacing="0" w:line="400" w:lineRule="exact"/>
        <w:ind w:firstLine="480" w:firstLineChars="200"/>
        <w:rPr>
          <w:color w:val="000000"/>
          <w:shd w:val="clear" w:color="auto" w:fill="FFFFFF"/>
        </w:rPr>
      </w:pPr>
      <w:r>
        <w:rPr>
          <w:rFonts w:hint="eastAsia"/>
          <w:color w:val="000000"/>
          <w:shd w:val="clear" w:color="auto" w:fill="FFFFFF"/>
        </w:rPr>
        <w:t>2.投标供应商必须是在中华人民共和国境内注册的具有法人资格的机构或其它组织，具有从事本项目的经营范围、资质和能力；</w:t>
      </w:r>
    </w:p>
    <w:p w14:paraId="15DD764B">
      <w:pPr>
        <w:pStyle w:val="15"/>
        <w:shd w:val="clear" w:color="auto" w:fill="FFFFFF"/>
        <w:adjustRightInd w:val="0"/>
        <w:snapToGrid w:val="0"/>
        <w:spacing w:before="0" w:beforeAutospacing="0" w:after="0" w:afterAutospacing="0" w:line="400" w:lineRule="exact"/>
        <w:ind w:firstLine="480" w:firstLineChars="200"/>
        <w:rPr>
          <w:color w:val="000000"/>
          <w:shd w:val="clear" w:color="auto" w:fill="FFFFFF"/>
        </w:rPr>
      </w:pPr>
      <w:r>
        <w:rPr>
          <w:rFonts w:hint="eastAsia"/>
          <w:color w:val="000000"/>
          <w:shd w:val="clear" w:color="auto" w:fill="FFFFFF"/>
        </w:rPr>
        <w:t>3.本项目不接受联合体投标，不允许转包和分包；</w:t>
      </w:r>
    </w:p>
    <w:p w14:paraId="09D57A7E">
      <w:pPr>
        <w:pStyle w:val="15"/>
        <w:shd w:val="clear" w:color="auto" w:fill="FFFFFF"/>
        <w:adjustRightInd w:val="0"/>
        <w:snapToGrid w:val="0"/>
        <w:spacing w:before="0" w:beforeAutospacing="0" w:after="0" w:afterAutospacing="0" w:line="400" w:lineRule="exact"/>
        <w:ind w:firstLine="480" w:firstLineChars="200"/>
        <w:rPr>
          <w:color w:val="000000"/>
          <w:shd w:val="clear" w:color="auto" w:fill="FFFFFF"/>
        </w:rPr>
      </w:pPr>
      <w:r>
        <w:rPr>
          <w:rFonts w:hint="eastAsia"/>
          <w:color w:val="000000"/>
          <w:shd w:val="clear" w:color="auto" w:fill="FFFFFF"/>
        </w:rPr>
        <w:t>三</w:t>
      </w:r>
      <w:r>
        <w:rPr>
          <w:color w:val="000000"/>
          <w:shd w:val="clear" w:color="auto" w:fill="FFFFFF"/>
        </w:rPr>
        <w:t>．报名时间、地点及注意事项：</w:t>
      </w:r>
    </w:p>
    <w:p w14:paraId="53FF11AE">
      <w:pPr>
        <w:pStyle w:val="15"/>
        <w:shd w:val="clear" w:color="auto" w:fill="FFFFFF"/>
        <w:adjustRightInd w:val="0"/>
        <w:snapToGrid w:val="0"/>
        <w:spacing w:before="0" w:beforeAutospacing="0" w:after="0" w:afterAutospacing="0" w:line="400" w:lineRule="exact"/>
        <w:ind w:firstLine="480" w:firstLineChars="200"/>
        <w:rPr>
          <w:color w:val="000000"/>
          <w:highlight w:val="none"/>
          <w:shd w:val="clear" w:color="auto" w:fill="FFFFFF"/>
        </w:rPr>
      </w:pPr>
      <w:bookmarkStart w:id="6" w:name="_GoBack"/>
      <w:r>
        <w:rPr>
          <w:color w:val="000000"/>
          <w:highlight w:val="none"/>
          <w:shd w:val="clear" w:color="auto" w:fill="FFFFFF"/>
        </w:rPr>
        <w:t>1．报名时间：202</w:t>
      </w:r>
      <w:r>
        <w:rPr>
          <w:rFonts w:hint="eastAsia"/>
          <w:color w:val="000000"/>
          <w:highlight w:val="none"/>
          <w:shd w:val="clear" w:color="auto" w:fill="FFFFFF"/>
        </w:rPr>
        <w:t>5</w:t>
      </w:r>
      <w:r>
        <w:rPr>
          <w:color w:val="000000"/>
          <w:highlight w:val="none"/>
          <w:shd w:val="clear" w:color="auto" w:fill="FFFFFF"/>
        </w:rPr>
        <w:t>年</w:t>
      </w:r>
      <w:r>
        <w:rPr>
          <w:rFonts w:hint="eastAsia"/>
          <w:color w:val="000000"/>
          <w:highlight w:val="none"/>
          <w:shd w:val="clear" w:color="auto" w:fill="FFFFFF"/>
          <w:lang w:val="en-US" w:eastAsia="zh-CN"/>
        </w:rPr>
        <w:t>8</w:t>
      </w:r>
      <w:r>
        <w:rPr>
          <w:color w:val="000000"/>
          <w:highlight w:val="none"/>
          <w:shd w:val="clear" w:color="auto" w:fill="FFFFFF"/>
        </w:rPr>
        <w:t>月</w:t>
      </w:r>
      <w:r>
        <w:rPr>
          <w:rFonts w:hint="eastAsia"/>
          <w:color w:val="000000"/>
          <w:highlight w:val="none"/>
          <w:shd w:val="clear" w:color="auto" w:fill="FFFFFF"/>
          <w:lang w:val="en-US" w:eastAsia="zh-CN"/>
        </w:rPr>
        <w:t>26</w:t>
      </w:r>
      <w:r>
        <w:rPr>
          <w:color w:val="000000"/>
          <w:highlight w:val="none"/>
          <w:shd w:val="clear" w:color="auto" w:fill="FFFFFF"/>
        </w:rPr>
        <w:t>日至202</w:t>
      </w:r>
      <w:r>
        <w:rPr>
          <w:rFonts w:hint="eastAsia"/>
          <w:color w:val="000000"/>
          <w:highlight w:val="none"/>
          <w:shd w:val="clear" w:color="auto" w:fill="FFFFFF"/>
        </w:rPr>
        <w:t>5</w:t>
      </w:r>
      <w:r>
        <w:rPr>
          <w:color w:val="000000"/>
          <w:highlight w:val="none"/>
          <w:shd w:val="clear" w:color="auto" w:fill="FFFFFF"/>
        </w:rPr>
        <w:t>年</w:t>
      </w:r>
      <w:r>
        <w:rPr>
          <w:rFonts w:hint="eastAsia"/>
          <w:color w:val="000000"/>
          <w:highlight w:val="none"/>
          <w:shd w:val="clear" w:color="auto" w:fill="FFFFFF"/>
          <w:lang w:val="en-US" w:eastAsia="zh-CN"/>
        </w:rPr>
        <w:t>9</w:t>
      </w:r>
      <w:r>
        <w:rPr>
          <w:color w:val="000000"/>
          <w:highlight w:val="none"/>
          <w:shd w:val="clear" w:color="auto" w:fill="FFFFFF"/>
        </w:rPr>
        <w:t>月</w:t>
      </w:r>
      <w:r>
        <w:rPr>
          <w:rFonts w:hint="eastAsia"/>
          <w:color w:val="000000"/>
          <w:highlight w:val="none"/>
          <w:shd w:val="clear" w:color="auto" w:fill="FFFFFF"/>
          <w:lang w:val="en-US" w:eastAsia="zh-CN"/>
        </w:rPr>
        <w:t>1</w:t>
      </w:r>
      <w:r>
        <w:rPr>
          <w:color w:val="000000"/>
          <w:highlight w:val="none"/>
          <w:shd w:val="clear" w:color="auto" w:fill="FFFFFF"/>
        </w:rPr>
        <w:t>日</w:t>
      </w:r>
      <w:r>
        <w:rPr>
          <w:rFonts w:hint="eastAsia"/>
          <w:color w:val="000000"/>
          <w:highlight w:val="none"/>
          <w:shd w:val="clear" w:color="auto" w:fill="FFFFFF"/>
        </w:rPr>
        <w:t>9</w:t>
      </w:r>
      <w:r>
        <w:rPr>
          <w:color w:val="000000"/>
          <w:highlight w:val="none"/>
          <w:shd w:val="clear" w:color="auto" w:fill="FFFFFF"/>
        </w:rPr>
        <w:t>:</w:t>
      </w:r>
      <w:r>
        <w:rPr>
          <w:rFonts w:hint="eastAsia"/>
          <w:color w:val="000000"/>
          <w:highlight w:val="none"/>
          <w:shd w:val="clear" w:color="auto" w:fill="FFFFFF"/>
        </w:rPr>
        <w:t>0</w:t>
      </w:r>
      <w:r>
        <w:rPr>
          <w:color w:val="000000"/>
          <w:highlight w:val="none"/>
          <w:shd w:val="clear" w:color="auto" w:fill="FFFFFF"/>
        </w:rPr>
        <w:t>0时（上午：8:10-11:40；下午：1:00-4:30、双休日不接收）。</w:t>
      </w:r>
    </w:p>
    <w:p w14:paraId="1397FA6E">
      <w:pPr>
        <w:pStyle w:val="15"/>
        <w:shd w:val="clear" w:color="auto" w:fill="FFFFFF"/>
        <w:adjustRightInd w:val="0"/>
        <w:snapToGrid w:val="0"/>
        <w:spacing w:before="0" w:beforeAutospacing="0" w:after="0" w:afterAutospacing="0" w:line="400" w:lineRule="exact"/>
        <w:ind w:firstLine="480" w:firstLineChars="200"/>
        <w:rPr>
          <w:color w:val="000000"/>
          <w:highlight w:val="none"/>
          <w:shd w:val="clear" w:color="auto" w:fill="FFFFFF"/>
        </w:rPr>
      </w:pPr>
      <w:r>
        <w:rPr>
          <w:rFonts w:hint="eastAsia"/>
          <w:color w:val="000000"/>
          <w:highlight w:val="none"/>
          <w:shd w:val="clear" w:color="auto" w:fill="FFFFFF"/>
        </w:rPr>
        <w:t>2.</w:t>
      </w:r>
      <w:r>
        <w:rPr>
          <w:color w:val="000000"/>
          <w:highlight w:val="none"/>
          <w:shd w:val="clear" w:color="auto" w:fill="FFFFFF"/>
        </w:rPr>
        <w:t>本次比选不适用《招标投标法》和《中华人民共和国政府采购法》，并且</w:t>
      </w:r>
      <w:r>
        <w:rPr>
          <w:rFonts w:hint="eastAsia"/>
          <w:color w:val="000000"/>
          <w:highlight w:val="none"/>
          <w:shd w:val="clear" w:color="auto" w:fill="FFFFFF"/>
        </w:rPr>
        <w:t>本单位</w:t>
      </w:r>
      <w:r>
        <w:rPr>
          <w:color w:val="000000"/>
          <w:highlight w:val="none"/>
          <w:shd w:val="clear" w:color="auto" w:fill="FFFFFF"/>
        </w:rPr>
        <w:t>保留对本</w:t>
      </w:r>
      <w:r>
        <w:rPr>
          <w:rFonts w:hint="eastAsia"/>
          <w:color w:val="000000"/>
          <w:highlight w:val="none"/>
          <w:shd w:val="clear" w:color="auto" w:fill="FFFFFF"/>
        </w:rPr>
        <w:t>公告</w:t>
      </w:r>
      <w:r>
        <w:rPr>
          <w:color w:val="000000"/>
          <w:highlight w:val="none"/>
          <w:shd w:val="clear" w:color="auto" w:fill="FFFFFF"/>
        </w:rPr>
        <w:t>及比选文件的解释权。</w:t>
      </w:r>
      <w:r>
        <w:rPr>
          <w:rFonts w:hint="eastAsia"/>
          <w:color w:val="000000"/>
          <w:highlight w:val="none"/>
          <w:shd w:val="clear" w:color="auto" w:fill="FFFFFF"/>
        </w:rPr>
        <w:t>本单位</w:t>
      </w:r>
      <w:r>
        <w:rPr>
          <w:color w:val="000000"/>
          <w:highlight w:val="none"/>
          <w:shd w:val="clear" w:color="auto" w:fill="FFFFFF"/>
        </w:rPr>
        <w:t>保留撤回/取消本</w:t>
      </w:r>
      <w:r>
        <w:rPr>
          <w:rFonts w:hint="eastAsia"/>
          <w:color w:val="000000"/>
          <w:highlight w:val="none"/>
          <w:shd w:val="clear" w:color="auto" w:fill="FFFFFF"/>
        </w:rPr>
        <w:t>公告</w:t>
      </w:r>
      <w:r>
        <w:rPr>
          <w:color w:val="000000"/>
          <w:highlight w:val="none"/>
          <w:shd w:val="clear" w:color="auto" w:fill="FFFFFF"/>
        </w:rPr>
        <w:t>及比选文件的权利而无需承担任何责任。请拟参选单位审慎阅读本</w:t>
      </w:r>
      <w:r>
        <w:rPr>
          <w:rFonts w:hint="eastAsia"/>
          <w:color w:val="000000"/>
          <w:highlight w:val="none"/>
          <w:shd w:val="clear" w:color="auto" w:fill="FFFFFF"/>
        </w:rPr>
        <w:t>公告</w:t>
      </w:r>
      <w:r>
        <w:rPr>
          <w:color w:val="000000"/>
          <w:highlight w:val="none"/>
          <w:shd w:val="clear" w:color="auto" w:fill="FFFFFF"/>
        </w:rPr>
        <w:t>，若有不明之处可联系问询。</w:t>
      </w:r>
    </w:p>
    <w:p w14:paraId="7D03B432">
      <w:pPr>
        <w:pStyle w:val="15"/>
        <w:shd w:val="clear" w:color="auto" w:fill="FFFFFF"/>
        <w:adjustRightInd w:val="0"/>
        <w:snapToGrid w:val="0"/>
        <w:spacing w:before="0" w:beforeAutospacing="0" w:after="0" w:afterAutospacing="0" w:line="400" w:lineRule="exact"/>
        <w:ind w:firstLine="480" w:firstLineChars="200"/>
        <w:rPr>
          <w:color w:val="000000"/>
          <w:highlight w:val="none"/>
          <w:shd w:val="clear" w:color="auto" w:fill="FFFFFF"/>
        </w:rPr>
      </w:pPr>
      <w:r>
        <w:rPr>
          <w:rFonts w:hint="eastAsia"/>
          <w:color w:val="000000"/>
          <w:highlight w:val="none"/>
          <w:shd w:val="clear" w:color="auto" w:fill="FFFFFF"/>
        </w:rPr>
        <w:t>3.</w:t>
      </w:r>
      <w:r>
        <w:rPr>
          <w:color w:val="000000"/>
          <w:highlight w:val="none"/>
          <w:shd w:val="clear" w:color="auto" w:fill="FFFFFF"/>
        </w:rPr>
        <w:t>比选采购文件在线获取，不提供纸质版。</w:t>
      </w:r>
    </w:p>
    <w:p w14:paraId="7F84799A">
      <w:pPr>
        <w:pStyle w:val="15"/>
        <w:shd w:val="clear" w:color="auto" w:fill="FFFFFF"/>
        <w:adjustRightInd w:val="0"/>
        <w:snapToGrid w:val="0"/>
        <w:spacing w:before="0" w:beforeAutospacing="0" w:after="0" w:afterAutospacing="0" w:line="400" w:lineRule="exact"/>
        <w:ind w:firstLine="480" w:firstLineChars="200"/>
        <w:rPr>
          <w:color w:val="000000"/>
          <w:highlight w:val="none"/>
          <w:shd w:val="clear" w:color="auto" w:fill="FFFFFF"/>
        </w:rPr>
      </w:pPr>
      <w:r>
        <w:rPr>
          <w:rFonts w:hint="eastAsia"/>
          <w:color w:val="000000"/>
          <w:highlight w:val="none"/>
          <w:shd w:val="clear" w:color="auto" w:fill="FFFFFF"/>
        </w:rPr>
        <w:t>4.</w:t>
      </w:r>
      <w:r>
        <w:rPr>
          <w:color w:val="000000"/>
          <w:highlight w:val="none"/>
          <w:shd w:val="clear" w:color="auto" w:fill="FFFFFF"/>
        </w:rPr>
        <w:t>联系人：</w:t>
      </w:r>
      <w:r>
        <w:rPr>
          <w:rFonts w:hint="eastAsia"/>
          <w:color w:val="000000"/>
          <w:highlight w:val="none"/>
          <w:shd w:val="clear" w:color="auto" w:fill="FFFFFF"/>
        </w:rPr>
        <w:t>朱老师</w:t>
      </w:r>
      <w:r>
        <w:rPr>
          <w:color w:val="000000"/>
          <w:highlight w:val="none"/>
          <w:shd w:val="clear" w:color="auto" w:fill="FFFFFF"/>
        </w:rPr>
        <w:t>      </w:t>
      </w:r>
    </w:p>
    <w:p w14:paraId="34AB2AF6">
      <w:pPr>
        <w:pStyle w:val="15"/>
        <w:shd w:val="clear" w:color="auto" w:fill="FFFFFF"/>
        <w:adjustRightInd w:val="0"/>
        <w:snapToGrid w:val="0"/>
        <w:spacing w:before="0" w:beforeAutospacing="0" w:after="0" w:afterAutospacing="0" w:line="400" w:lineRule="exact"/>
        <w:ind w:firstLine="480" w:firstLineChars="200"/>
        <w:rPr>
          <w:color w:val="000000"/>
          <w:highlight w:val="none"/>
          <w:shd w:val="clear" w:color="auto" w:fill="FFFFFF"/>
        </w:rPr>
      </w:pPr>
      <w:r>
        <w:rPr>
          <w:color w:val="000000"/>
          <w:highlight w:val="none"/>
          <w:shd w:val="clear" w:color="auto" w:fill="FFFFFF"/>
        </w:rPr>
        <w:t>联系电话：0577-89870153</w:t>
      </w:r>
    </w:p>
    <w:p w14:paraId="79CADD88">
      <w:pPr>
        <w:pStyle w:val="15"/>
        <w:shd w:val="clear" w:color="auto" w:fill="FFFFFF"/>
        <w:adjustRightInd w:val="0"/>
        <w:snapToGrid w:val="0"/>
        <w:spacing w:before="0" w:beforeAutospacing="0" w:after="0" w:afterAutospacing="0" w:line="400" w:lineRule="exact"/>
        <w:ind w:firstLine="480" w:firstLineChars="200"/>
        <w:rPr>
          <w:color w:val="000000"/>
          <w:highlight w:val="none"/>
        </w:rPr>
      </w:pPr>
      <w:r>
        <w:rPr>
          <w:rFonts w:hint="eastAsia"/>
          <w:color w:val="000000"/>
          <w:highlight w:val="none"/>
        </w:rPr>
        <w:t>四、投标文件递交截止时间：2025年</w:t>
      </w:r>
      <w:r>
        <w:rPr>
          <w:rFonts w:hint="eastAsia"/>
          <w:color w:val="000000"/>
          <w:highlight w:val="none"/>
          <w:lang w:val="en-US" w:eastAsia="zh-CN"/>
        </w:rPr>
        <w:t>9</w:t>
      </w:r>
      <w:r>
        <w:rPr>
          <w:rFonts w:hint="eastAsia"/>
          <w:color w:val="000000"/>
          <w:highlight w:val="none"/>
        </w:rPr>
        <w:t>月</w:t>
      </w:r>
      <w:r>
        <w:rPr>
          <w:rFonts w:hint="eastAsia"/>
          <w:color w:val="000000"/>
          <w:highlight w:val="none"/>
          <w:lang w:val="en-US" w:eastAsia="zh-CN"/>
        </w:rPr>
        <w:t>1</w:t>
      </w:r>
      <w:r>
        <w:rPr>
          <w:rFonts w:hint="eastAsia"/>
          <w:color w:val="000000"/>
          <w:highlight w:val="none"/>
        </w:rPr>
        <w:t>日9:00分整；</w:t>
      </w:r>
    </w:p>
    <w:p w14:paraId="442E6120">
      <w:pPr>
        <w:pStyle w:val="15"/>
        <w:shd w:val="clear" w:color="auto" w:fill="FFFFFF"/>
        <w:adjustRightInd w:val="0"/>
        <w:snapToGrid w:val="0"/>
        <w:spacing w:before="0" w:beforeAutospacing="0" w:after="0" w:afterAutospacing="0" w:line="400" w:lineRule="exact"/>
        <w:ind w:firstLine="480" w:firstLineChars="200"/>
        <w:textAlignment w:val="bottom"/>
        <w:rPr>
          <w:color w:val="000000"/>
          <w:highlight w:val="none"/>
        </w:rPr>
      </w:pPr>
      <w:r>
        <w:rPr>
          <w:rFonts w:hint="eastAsia"/>
          <w:color w:val="000000"/>
          <w:highlight w:val="none"/>
        </w:rPr>
        <w:t>  递交地点：温州市第七人民医院潘桥院区学士前路158号</w:t>
      </w:r>
    </w:p>
    <w:p w14:paraId="718B7B68">
      <w:pPr>
        <w:pStyle w:val="15"/>
        <w:shd w:val="clear" w:color="auto" w:fill="FFFFFF"/>
        <w:adjustRightInd w:val="0"/>
        <w:snapToGrid w:val="0"/>
        <w:spacing w:before="0" w:beforeAutospacing="0" w:after="0" w:afterAutospacing="0" w:line="400" w:lineRule="exact"/>
        <w:ind w:firstLine="480" w:firstLineChars="200"/>
        <w:rPr>
          <w:color w:val="000000"/>
          <w:highlight w:val="none"/>
        </w:rPr>
      </w:pPr>
      <w:r>
        <w:rPr>
          <w:rFonts w:hint="eastAsia"/>
          <w:color w:val="000000"/>
          <w:highlight w:val="none"/>
        </w:rPr>
        <w:t>五、开标时间：2025年</w:t>
      </w:r>
      <w:r>
        <w:rPr>
          <w:rFonts w:hint="eastAsia"/>
          <w:color w:val="000000"/>
          <w:highlight w:val="none"/>
          <w:lang w:val="en-US" w:eastAsia="zh-CN"/>
        </w:rPr>
        <w:t>9</w:t>
      </w:r>
      <w:r>
        <w:rPr>
          <w:rFonts w:hint="eastAsia"/>
          <w:color w:val="000000"/>
          <w:highlight w:val="none"/>
        </w:rPr>
        <w:t>月</w:t>
      </w:r>
      <w:r>
        <w:rPr>
          <w:rFonts w:hint="eastAsia"/>
          <w:color w:val="000000"/>
          <w:highlight w:val="none"/>
          <w:lang w:val="en-US" w:eastAsia="zh-CN"/>
        </w:rPr>
        <w:t>1</w:t>
      </w:r>
      <w:r>
        <w:rPr>
          <w:rFonts w:hint="eastAsia"/>
          <w:color w:val="000000"/>
          <w:highlight w:val="none"/>
        </w:rPr>
        <w:t>日9:00分整；</w:t>
      </w:r>
    </w:p>
    <w:p w14:paraId="5174915E">
      <w:pPr>
        <w:pStyle w:val="15"/>
        <w:shd w:val="clear" w:color="auto" w:fill="FFFFFF"/>
        <w:adjustRightInd w:val="0"/>
        <w:snapToGrid w:val="0"/>
        <w:spacing w:before="0" w:beforeAutospacing="0" w:after="0" w:afterAutospacing="0" w:line="400" w:lineRule="exact"/>
        <w:ind w:firstLine="480" w:firstLineChars="200"/>
        <w:rPr>
          <w:color w:val="000000"/>
          <w:highlight w:val="none"/>
        </w:rPr>
      </w:pPr>
      <w:r>
        <w:rPr>
          <w:rFonts w:hint="eastAsia"/>
          <w:color w:val="000000"/>
          <w:highlight w:val="none"/>
        </w:rPr>
        <w:t>开标地点：温州市第七人民医院潘桥院区学士前路158号门诊楼4楼三号会议室</w:t>
      </w:r>
    </w:p>
    <w:p w14:paraId="736BD23C">
      <w:pPr>
        <w:pStyle w:val="15"/>
        <w:shd w:val="clear" w:color="auto" w:fill="FFFFFF"/>
        <w:adjustRightInd w:val="0"/>
        <w:snapToGrid w:val="0"/>
        <w:spacing w:before="0" w:beforeAutospacing="0" w:after="0" w:afterAutospacing="0" w:line="400" w:lineRule="exact"/>
        <w:ind w:firstLine="480" w:firstLineChars="200"/>
        <w:rPr>
          <w:color w:val="000000"/>
          <w:highlight w:val="none"/>
        </w:rPr>
      </w:pPr>
      <w:r>
        <w:rPr>
          <w:rFonts w:hint="eastAsia"/>
          <w:color w:val="000000"/>
          <w:highlight w:val="none"/>
        </w:rPr>
        <w:t>六、招标人：温州市第七人民医院</w:t>
      </w:r>
    </w:p>
    <w:p w14:paraId="747A145C">
      <w:pPr>
        <w:pStyle w:val="15"/>
        <w:shd w:val="clear" w:color="auto" w:fill="FFFFFF"/>
        <w:adjustRightInd w:val="0"/>
        <w:snapToGrid w:val="0"/>
        <w:spacing w:before="0" w:beforeAutospacing="0" w:after="0" w:afterAutospacing="0" w:line="400" w:lineRule="exact"/>
        <w:ind w:firstLine="480" w:firstLineChars="200"/>
        <w:rPr>
          <w:color w:val="000000"/>
          <w:highlight w:val="none"/>
        </w:rPr>
      </w:pPr>
      <w:r>
        <w:rPr>
          <w:rFonts w:hint="eastAsia"/>
          <w:color w:val="000000"/>
          <w:highlight w:val="none"/>
        </w:rPr>
        <w:t>联系人： </w:t>
      </w:r>
      <w:r>
        <w:rPr>
          <w:rFonts w:hint="eastAsia"/>
          <w:color w:val="000000"/>
          <w:highlight w:val="none"/>
          <w:shd w:val="clear" w:color="auto" w:fill="FFFFFF"/>
        </w:rPr>
        <w:t>朱老师</w:t>
      </w:r>
      <w:r>
        <w:rPr>
          <w:color w:val="000000"/>
          <w:highlight w:val="none"/>
          <w:shd w:val="clear" w:color="auto" w:fill="FFFFFF"/>
        </w:rPr>
        <w:t> </w:t>
      </w:r>
    </w:p>
    <w:p w14:paraId="5C99DA8B">
      <w:pPr>
        <w:pStyle w:val="15"/>
        <w:shd w:val="clear" w:color="auto" w:fill="FFFFFF"/>
        <w:adjustRightInd w:val="0"/>
        <w:snapToGrid w:val="0"/>
        <w:spacing w:before="0" w:beforeAutospacing="0" w:after="0" w:afterAutospacing="0" w:line="400" w:lineRule="exact"/>
        <w:ind w:firstLine="480" w:firstLineChars="200"/>
        <w:rPr>
          <w:color w:val="000000"/>
          <w:highlight w:val="none"/>
        </w:rPr>
      </w:pPr>
      <w:r>
        <w:rPr>
          <w:rFonts w:hint="eastAsia"/>
          <w:color w:val="000000"/>
          <w:highlight w:val="none"/>
        </w:rPr>
        <w:t>电话：  0577-89870153</w:t>
      </w:r>
    </w:p>
    <w:p w14:paraId="53D76E20">
      <w:pPr>
        <w:pStyle w:val="15"/>
        <w:shd w:val="clear" w:color="auto" w:fill="FFFFFF"/>
        <w:adjustRightInd w:val="0"/>
        <w:snapToGrid w:val="0"/>
        <w:spacing w:before="0" w:beforeAutospacing="0" w:after="0" w:afterAutospacing="0" w:line="400" w:lineRule="exact"/>
        <w:ind w:firstLine="480" w:firstLineChars="200"/>
        <w:rPr>
          <w:color w:val="000000"/>
          <w:highlight w:val="none"/>
        </w:rPr>
      </w:pPr>
      <w:r>
        <w:rPr>
          <w:rFonts w:hint="eastAsia"/>
          <w:color w:val="000000"/>
          <w:highlight w:val="none"/>
        </w:rPr>
        <w:t>监督电话：0577-89870113 </w:t>
      </w:r>
    </w:p>
    <w:p w14:paraId="20A4E0C3">
      <w:pPr>
        <w:pStyle w:val="15"/>
        <w:shd w:val="clear" w:color="auto" w:fill="FFFFFF"/>
        <w:wordWrap w:val="0"/>
        <w:adjustRightInd w:val="0"/>
        <w:snapToGrid w:val="0"/>
        <w:spacing w:before="0" w:beforeAutospacing="0" w:after="0" w:afterAutospacing="0" w:line="400" w:lineRule="exact"/>
        <w:ind w:firstLine="480" w:firstLineChars="200"/>
        <w:jc w:val="right"/>
        <w:rPr>
          <w:color w:val="000000"/>
          <w:highlight w:val="none"/>
        </w:rPr>
      </w:pPr>
      <w:r>
        <w:rPr>
          <w:rFonts w:hint="eastAsia"/>
          <w:color w:val="000000"/>
          <w:highlight w:val="none"/>
        </w:rPr>
        <w:t xml:space="preserve">                                                                  温州市第七人民医院  </w:t>
      </w:r>
    </w:p>
    <w:p w14:paraId="734EFFAB">
      <w:pPr>
        <w:pStyle w:val="15"/>
        <w:shd w:val="clear" w:color="auto" w:fill="FFFFFF"/>
        <w:wordWrap w:val="0"/>
        <w:adjustRightInd w:val="0"/>
        <w:snapToGrid w:val="0"/>
        <w:spacing w:before="0" w:beforeAutospacing="0" w:after="0" w:afterAutospacing="0" w:line="400" w:lineRule="exact"/>
        <w:ind w:firstLine="480" w:firstLineChars="200"/>
        <w:jc w:val="right"/>
        <w:rPr>
          <w:rStyle w:val="21"/>
          <w:rFonts w:ascii="Calibri" w:hAnsi="Calibri" w:cs="Times New Roman"/>
          <w:color w:val="333333"/>
          <w:highlight w:val="none"/>
          <w:shd w:val="clear" w:color="auto" w:fill="FFFFFF"/>
        </w:rPr>
      </w:pPr>
      <w:r>
        <w:rPr>
          <w:rFonts w:hint="eastAsia"/>
          <w:color w:val="000000"/>
          <w:highlight w:val="none"/>
        </w:rPr>
        <w:t>                           2025年</w:t>
      </w:r>
      <w:r>
        <w:rPr>
          <w:rFonts w:hint="eastAsia"/>
          <w:color w:val="000000"/>
          <w:highlight w:val="none"/>
          <w:lang w:val="en-US" w:eastAsia="zh-CN"/>
        </w:rPr>
        <w:t>8</w:t>
      </w:r>
      <w:r>
        <w:rPr>
          <w:rFonts w:hint="eastAsia"/>
          <w:color w:val="000000"/>
          <w:highlight w:val="none"/>
        </w:rPr>
        <w:t>月</w:t>
      </w:r>
      <w:r>
        <w:rPr>
          <w:rFonts w:hint="eastAsia"/>
          <w:color w:val="000000"/>
          <w:highlight w:val="none"/>
          <w:lang w:val="en-US" w:eastAsia="zh-CN"/>
        </w:rPr>
        <w:t>26</w:t>
      </w:r>
      <w:r>
        <w:rPr>
          <w:rFonts w:hint="eastAsia"/>
          <w:color w:val="000000"/>
          <w:highlight w:val="none"/>
        </w:rPr>
        <w:t xml:space="preserve">日  </w:t>
      </w:r>
      <w:r>
        <w:rPr>
          <w:rFonts w:hint="eastAsia"/>
          <w:color w:val="000000"/>
          <w:sz w:val="23"/>
          <w:szCs w:val="23"/>
          <w:highlight w:val="none"/>
        </w:rPr>
        <w:t xml:space="preserve"> </w:t>
      </w:r>
    </w:p>
    <w:bookmarkEnd w:id="6"/>
    <w:p w14:paraId="4CB5728E">
      <w:pPr>
        <w:pStyle w:val="15"/>
        <w:shd w:val="clear" w:color="auto" w:fill="FFFFFF"/>
        <w:spacing w:line="465" w:lineRule="atLeast"/>
        <w:jc w:val="both"/>
        <w:rPr>
          <w:rFonts w:ascii="新宋体" w:hAnsi="新宋体" w:eastAsia="新宋体"/>
          <w:b/>
          <w:bCs/>
          <w:sz w:val="32"/>
          <w:szCs w:val="32"/>
        </w:rPr>
      </w:pPr>
    </w:p>
    <w:p w14:paraId="301C4713">
      <w:pPr>
        <w:pStyle w:val="15"/>
        <w:shd w:val="clear" w:color="auto" w:fill="FFFFFF"/>
        <w:spacing w:line="465" w:lineRule="atLeast"/>
        <w:jc w:val="both"/>
        <w:rPr>
          <w:rFonts w:ascii="新宋体" w:hAnsi="新宋体" w:eastAsia="新宋体"/>
          <w:b/>
          <w:bCs/>
          <w:sz w:val="32"/>
          <w:szCs w:val="32"/>
        </w:rPr>
      </w:pPr>
    </w:p>
    <w:p w14:paraId="55FB7C4A">
      <w:pPr>
        <w:pStyle w:val="15"/>
        <w:shd w:val="clear" w:color="auto" w:fill="FFFFFF"/>
        <w:spacing w:line="465" w:lineRule="atLeast"/>
        <w:jc w:val="both"/>
        <w:rPr>
          <w:rFonts w:ascii="新宋体" w:hAnsi="新宋体" w:eastAsia="新宋体"/>
          <w:b/>
          <w:bCs/>
          <w:sz w:val="32"/>
          <w:szCs w:val="32"/>
        </w:rPr>
      </w:pPr>
    </w:p>
    <w:p w14:paraId="67BAE0D5">
      <w:pPr>
        <w:pStyle w:val="15"/>
        <w:shd w:val="clear" w:color="auto" w:fill="FFFFFF"/>
        <w:spacing w:line="465" w:lineRule="atLeast"/>
        <w:jc w:val="both"/>
        <w:rPr>
          <w:rFonts w:ascii="新宋体" w:hAnsi="新宋体" w:eastAsia="新宋体"/>
          <w:b/>
          <w:bCs/>
          <w:sz w:val="32"/>
          <w:szCs w:val="32"/>
        </w:rPr>
      </w:pPr>
    </w:p>
    <w:p w14:paraId="6D4F53C5">
      <w:pPr>
        <w:pStyle w:val="15"/>
        <w:shd w:val="clear" w:color="auto" w:fill="FFFFFF"/>
        <w:spacing w:line="465" w:lineRule="atLeast"/>
        <w:jc w:val="both"/>
        <w:rPr>
          <w:rFonts w:ascii="新宋体" w:hAnsi="新宋体" w:eastAsia="新宋体"/>
          <w:b/>
          <w:bCs/>
          <w:sz w:val="32"/>
          <w:szCs w:val="32"/>
        </w:rPr>
      </w:pPr>
    </w:p>
    <w:p w14:paraId="1461E0C0">
      <w:pPr>
        <w:pStyle w:val="15"/>
        <w:shd w:val="clear" w:color="auto" w:fill="FFFFFF"/>
        <w:spacing w:line="465" w:lineRule="atLeast"/>
        <w:jc w:val="both"/>
        <w:rPr>
          <w:rFonts w:ascii="新宋体" w:hAnsi="新宋体" w:eastAsia="新宋体"/>
          <w:b/>
          <w:bCs/>
          <w:sz w:val="32"/>
          <w:szCs w:val="32"/>
        </w:rPr>
      </w:pPr>
    </w:p>
    <w:p w14:paraId="63F37DE0">
      <w:pPr>
        <w:pStyle w:val="15"/>
        <w:shd w:val="clear" w:color="auto" w:fill="FFFFFF"/>
        <w:spacing w:line="465" w:lineRule="atLeast"/>
        <w:jc w:val="both"/>
        <w:rPr>
          <w:rFonts w:ascii="新宋体" w:hAnsi="新宋体" w:eastAsia="新宋体"/>
          <w:b/>
          <w:bCs/>
          <w:sz w:val="32"/>
          <w:szCs w:val="32"/>
        </w:rPr>
      </w:pPr>
    </w:p>
    <w:p w14:paraId="5A71196E">
      <w:pPr>
        <w:pStyle w:val="15"/>
        <w:shd w:val="clear" w:color="auto" w:fill="FFFFFF"/>
        <w:spacing w:line="465" w:lineRule="atLeast"/>
        <w:jc w:val="both"/>
        <w:rPr>
          <w:rFonts w:ascii="新宋体" w:hAnsi="新宋体" w:eastAsia="新宋体"/>
          <w:b/>
          <w:bCs/>
          <w:sz w:val="32"/>
          <w:szCs w:val="32"/>
        </w:rPr>
      </w:pPr>
    </w:p>
    <w:p w14:paraId="18B802A1">
      <w:pPr>
        <w:pStyle w:val="15"/>
        <w:shd w:val="clear" w:color="auto" w:fill="FFFFFF"/>
        <w:spacing w:line="465" w:lineRule="atLeast"/>
        <w:jc w:val="both"/>
        <w:rPr>
          <w:rFonts w:ascii="新宋体" w:hAnsi="新宋体" w:eastAsia="新宋体"/>
          <w:b/>
          <w:bCs/>
          <w:sz w:val="32"/>
          <w:szCs w:val="32"/>
        </w:rPr>
      </w:pPr>
    </w:p>
    <w:p w14:paraId="127194E8">
      <w:pPr>
        <w:pStyle w:val="15"/>
        <w:shd w:val="clear" w:color="auto" w:fill="FFFFFF"/>
        <w:spacing w:line="465" w:lineRule="atLeast"/>
        <w:jc w:val="both"/>
        <w:rPr>
          <w:rFonts w:ascii="新宋体" w:hAnsi="新宋体" w:eastAsia="新宋体"/>
          <w:b/>
          <w:bCs/>
          <w:sz w:val="32"/>
          <w:szCs w:val="32"/>
        </w:rPr>
      </w:pPr>
    </w:p>
    <w:p w14:paraId="2BED76FC">
      <w:pPr>
        <w:pStyle w:val="15"/>
        <w:shd w:val="clear" w:color="auto" w:fill="FFFFFF"/>
        <w:spacing w:line="465" w:lineRule="atLeast"/>
        <w:jc w:val="both"/>
        <w:rPr>
          <w:rFonts w:ascii="新宋体" w:hAnsi="新宋体" w:eastAsia="新宋体"/>
          <w:b/>
          <w:bCs/>
          <w:sz w:val="32"/>
          <w:szCs w:val="32"/>
        </w:rPr>
      </w:pPr>
    </w:p>
    <w:p w14:paraId="4BABDEFD">
      <w:pPr>
        <w:pStyle w:val="15"/>
        <w:shd w:val="clear" w:color="auto" w:fill="FFFFFF"/>
        <w:spacing w:line="465" w:lineRule="atLeast"/>
        <w:jc w:val="both"/>
        <w:rPr>
          <w:rFonts w:ascii="新宋体" w:hAnsi="新宋体" w:eastAsia="新宋体"/>
          <w:b/>
          <w:bCs/>
          <w:sz w:val="32"/>
          <w:szCs w:val="32"/>
        </w:rPr>
      </w:pPr>
    </w:p>
    <w:p w14:paraId="5FF6DCB8">
      <w:pPr>
        <w:pStyle w:val="15"/>
        <w:shd w:val="clear" w:color="auto" w:fill="FFFFFF"/>
        <w:spacing w:line="465" w:lineRule="atLeast"/>
        <w:jc w:val="center"/>
        <w:rPr>
          <w:rFonts w:ascii="新宋体" w:hAnsi="新宋体" w:eastAsia="新宋体"/>
          <w:color w:val="5A5A5A"/>
          <w:sz w:val="23"/>
          <w:szCs w:val="23"/>
        </w:rPr>
      </w:pPr>
      <w:r>
        <w:rPr>
          <w:rFonts w:hint="eastAsia" w:ascii="新宋体" w:hAnsi="新宋体" w:eastAsia="新宋体"/>
          <w:b/>
          <w:bCs/>
          <w:sz w:val="32"/>
          <w:szCs w:val="32"/>
        </w:rPr>
        <w:t>招标内容及要求</w:t>
      </w:r>
    </w:p>
    <w:p w14:paraId="38DAB631">
      <w:pPr>
        <w:numPr>
          <w:ilvl w:val="0"/>
          <w:numId w:val="2"/>
        </w:numPr>
        <w:spacing w:line="360" w:lineRule="auto"/>
        <w:rPr>
          <w:rFonts w:ascii="宋体" w:hAnsi="宋体"/>
          <w:sz w:val="28"/>
          <w:szCs w:val="28"/>
        </w:rPr>
      </w:pPr>
      <w:r>
        <w:rPr>
          <w:rFonts w:hint="eastAsia"/>
          <w:b/>
          <w:bCs/>
          <w:sz w:val="28"/>
          <w:szCs w:val="28"/>
        </w:rPr>
        <w:t>招标内容</w:t>
      </w:r>
    </w:p>
    <w:p w14:paraId="3AB9D84C">
      <w:pPr>
        <w:spacing w:line="360" w:lineRule="auto"/>
        <w:rPr>
          <w:rFonts w:ascii="宋体" w:hAnsi="宋体"/>
          <w:sz w:val="28"/>
          <w:szCs w:val="28"/>
        </w:rPr>
      </w:pPr>
      <w:r>
        <w:rPr>
          <w:rFonts w:hint="eastAsia" w:ascii="宋体" w:hAnsi="宋体"/>
          <w:sz w:val="28"/>
          <w:szCs w:val="28"/>
        </w:rPr>
        <w:t>（一）招标单位：温州市第七人民医院</w:t>
      </w:r>
    </w:p>
    <w:p w14:paraId="0752AA0B">
      <w:pPr>
        <w:spacing w:line="360" w:lineRule="auto"/>
        <w:rPr>
          <w:rFonts w:ascii="宋体" w:hAnsi="宋体"/>
          <w:sz w:val="28"/>
          <w:szCs w:val="28"/>
        </w:rPr>
      </w:pPr>
      <w:r>
        <w:rPr>
          <w:rFonts w:hint="eastAsia" w:ascii="宋体" w:hAnsi="宋体"/>
          <w:sz w:val="28"/>
          <w:szCs w:val="28"/>
        </w:rPr>
        <w:t>（二）项目名称：数据库字段加密服务采购项目</w:t>
      </w:r>
    </w:p>
    <w:p w14:paraId="341FDFD5">
      <w:pPr>
        <w:spacing w:line="360" w:lineRule="auto"/>
        <w:rPr>
          <w:rFonts w:ascii="宋体" w:hAnsi="宋体"/>
          <w:sz w:val="28"/>
          <w:szCs w:val="28"/>
        </w:rPr>
      </w:pPr>
      <w:r>
        <w:rPr>
          <w:rFonts w:hint="eastAsia" w:ascii="宋体" w:hAnsi="宋体"/>
          <w:sz w:val="28"/>
          <w:szCs w:val="28"/>
        </w:rPr>
        <w:t>（三）预算金额：50000元</w:t>
      </w:r>
    </w:p>
    <w:p w14:paraId="417E4CB6">
      <w:pPr>
        <w:spacing w:line="360" w:lineRule="auto"/>
        <w:rPr>
          <w:rFonts w:ascii="宋体" w:hAnsi="宋体"/>
          <w:sz w:val="28"/>
          <w:szCs w:val="28"/>
        </w:rPr>
      </w:pPr>
      <w:r>
        <w:rPr>
          <w:rFonts w:hint="eastAsia" w:ascii="宋体" w:hAnsi="宋体"/>
          <w:sz w:val="28"/>
          <w:szCs w:val="28"/>
        </w:rPr>
        <w:t>（四）采购内容：温州市第七人民医院密码应用服务项目主要内容：页面设计、管理系统改造、移动端适配、数据迁移、安全防护、维保等。</w:t>
      </w:r>
    </w:p>
    <w:p w14:paraId="4882A22C">
      <w:pPr>
        <w:spacing w:line="360" w:lineRule="auto"/>
        <w:rPr>
          <w:rFonts w:ascii="宋体" w:hAnsi="宋体"/>
          <w:sz w:val="28"/>
          <w:szCs w:val="28"/>
        </w:rPr>
      </w:pPr>
      <w:r>
        <w:rPr>
          <w:rFonts w:hint="eastAsia" w:ascii="宋体" w:hAnsi="宋体"/>
          <w:sz w:val="28"/>
          <w:szCs w:val="28"/>
        </w:rPr>
        <w:t>（五）服务时间：合同签订后30日内。</w:t>
      </w:r>
    </w:p>
    <w:p w14:paraId="353E2E37">
      <w:pPr>
        <w:spacing w:line="360" w:lineRule="auto"/>
        <w:ind w:firstLine="840" w:firstLineChars="300"/>
        <w:rPr>
          <w:rFonts w:ascii="宋体" w:hAnsi="宋体"/>
          <w:sz w:val="28"/>
          <w:szCs w:val="28"/>
        </w:rPr>
      </w:pPr>
      <w:r>
        <w:rPr>
          <w:rFonts w:hint="eastAsia" w:ascii="宋体" w:hAnsi="宋体"/>
          <w:sz w:val="28"/>
          <w:szCs w:val="28"/>
        </w:rPr>
        <w:t>服务期限：一年</w:t>
      </w:r>
    </w:p>
    <w:p w14:paraId="2A8569E6">
      <w:pPr>
        <w:spacing w:line="360" w:lineRule="auto"/>
        <w:rPr>
          <w:rFonts w:ascii="宋体" w:hAnsi="宋体"/>
          <w:sz w:val="28"/>
          <w:szCs w:val="28"/>
        </w:rPr>
      </w:pPr>
      <w:r>
        <w:rPr>
          <w:rFonts w:hint="eastAsia" w:ascii="宋体" w:hAnsi="宋体"/>
          <w:sz w:val="28"/>
          <w:szCs w:val="28"/>
        </w:rPr>
        <w:t>（六）服务地点：采购人指定地点。</w:t>
      </w:r>
    </w:p>
    <w:p w14:paraId="22E98E3A">
      <w:pPr>
        <w:spacing w:line="360" w:lineRule="auto"/>
        <w:rPr>
          <w:rFonts w:ascii="宋体" w:hAnsi="宋体"/>
          <w:sz w:val="28"/>
          <w:szCs w:val="28"/>
        </w:rPr>
      </w:pPr>
    </w:p>
    <w:p w14:paraId="33741B72">
      <w:pPr>
        <w:numPr>
          <w:ilvl w:val="0"/>
          <w:numId w:val="2"/>
        </w:numPr>
        <w:spacing w:line="360" w:lineRule="auto"/>
        <w:rPr>
          <w:b/>
          <w:bCs/>
          <w:sz w:val="28"/>
          <w:szCs w:val="28"/>
        </w:rPr>
      </w:pPr>
      <w:r>
        <w:rPr>
          <w:rFonts w:hint="eastAsia"/>
          <w:b/>
          <w:bCs/>
          <w:sz w:val="28"/>
          <w:szCs w:val="28"/>
        </w:rPr>
        <w:t>服务要求</w:t>
      </w:r>
    </w:p>
    <w:p w14:paraId="5C472146">
      <w:pPr>
        <w:pStyle w:val="4"/>
        <w:rPr>
          <w:b w:val="0"/>
          <w:bCs w:val="0"/>
        </w:rPr>
      </w:pPr>
      <w:r>
        <w:rPr>
          <w:rFonts w:hint="eastAsia"/>
          <w:b w:val="0"/>
          <w:bCs w:val="0"/>
        </w:rPr>
        <w:t>1.采购内容：</w:t>
      </w:r>
    </w:p>
    <w:p w14:paraId="648B5631">
      <w:pPr>
        <w:spacing w:line="360" w:lineRule="auto"/>
        <w:jc w:val="left"/>
        <w:outlineLvl w:val="0"/>
        <w:rPr>
          <w:rFonts w:ascii="宋体" w:hAnsi="宋体"/>
          <w:bCs/>
          <w:sz w:val="24"/>
        </w:rPr>
      </w:pPr>
    </w:p>
    <w:p w14:paraId="4931026D">
      <w:pPr>
        <w:spacing w:line="360" w:lineRule="auto"/>
        <w:jc w:val="left"/>
        <w:outlineLvl w:val="0"/>
        <w:rPr>
          <w:rFonts w:ascii="宋体" w:hAnsi="宋体"/>
          <w:bCs/>
          <w:sz w:val="24"/>
        </w:rPr>
      </w:pPr>
    </w:p>
    <w:p w14:paraId="6136EC60">
      <w:pPr>
        <w:spacing w:line="360" w:lineRule="auto"/>
        <w:jc w:val="left"/>
        <w:outlineLvl w:val="0"/>
        <w:rPr>
          <w:rFonts w:ascii="宋体" w:hAnsi="宋体"/>
          <w:bCs/>
          <w:sz w:val="24"/>
        </w:rPr>
      </w:pPr>
    </w:p>
    <w:p w14:paraId="42391846">
      <w:pPr>
        <w:spacing w:line="360" w:lineRule="auto"/>
        <w:jc w:val="left"/>
        <w:outlineLvl w:val="0"/>
        <w:rPr>
          <w:rFonts w:ascii="宋体" w:hAnsi="宋体"/>
          <w:bCs/>
          <w:sz w:val="24"/>
        </w:rPr>
      </w:pPr>
    </w:p>
    <w:p w14:paraId="47A39C08">
      <w:pPr>
        <w:spacing w:line="360" w:lineRule="auto"/>
        <w:jc w:val="left"/>
        <w:outlineLvl w:val="0"/>
        <w:rPr>
          <w:rFonts w:ascii="宋体" w:hAnsi="宋体"/>
          <w:bCs/>
          <w:sz w:val="24"/>
        </w:rPr>
      </w:pPr>
    </w:p>
    <w:p w14:paraId="26D49C16">
      <w:pPr>
        <w:spacing w:line="360" w:lineRule="auto"/>
        <w:jc w:val="left"/>
        <w:outlineLvl w:val="0"/>
        <w:rPr>
          <w:rFonts w:ascii="宋体" w:hAnsi="宋体"/>
          <w:bCs/>
          <w:sz w:val="24"/>
        </w:rPr>
      </w:pPr>
    </w:p>
    <w:tbl>
      <w:tblPr>
        <w:tblStyle w:val="18"/>
        <w:tblW w:w="9679" w:type="dxa"/>
        <w:jc w:val="center"/>
        <w:tblLayout w:type="fixed"/>
        <w:tblCellMar>
          <w:top w:w="0" w:type="dxa"/>
          <w:left w:w="108" w:type="dxa"/>
          <w:bottom w:w="0" w:type="dxa"/>
          <w:right w:w="108" w:type="dxa"/>
        </w:tblCellMar>
      </w:tblPr>
      <w:tblGrid>
        <w:gridCol w:w="560"/>
        <w:gridCol w:w="968"/>
        <w:gridCol w:w="5904"/>
        <w:gridCol w:w="2247"/>
      </w:tblGrid>
      <w:tr w14:paraId="777FBFB8">
        <w:tblPrEx>
          <w:tblCellMar>
            <w:top w:w="0" w:type="dxa"/>
            <w:left w:w="108" w:type="dxa"/>
            <w:bottom w:w="0" w:type="dxa"/>
            <w:right w:w="108" w:type="dxa"/>
          </w:tblCellMar>
        </w:tblPrEx>
        <w:trPr>
          <w:trHeight w:val="748" w:hRule="atLeast"/>
          <w:jc w:val="center"/>
        </w:trPr>
        <w:tc>
          <w:tcPr>
            <w:tcW w:w="5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4E3984D">
            <w:pPr>
              <w:widowControl/>
              <w:jc w:val="center"/>
              <w:textAlignment w:val="center"/>
              <w:rPr>
                <w:rFonts w:ascii="宋体" w:hAnsi="宋体" w:cs="宋体"/>
                <w:b/>
                <w:bCs/>
                <w:color w:val="000000"/>
                <w:sz w:val="24"/>
              </w:rPr>
            </w:pPr>
            <w:r>
              <w:rPr>
                <w:rFonts w:hint="eastAsia" w:ascii="宋体" w:hAnsi="宋体" w:cs="宋体"/>
                <w:b/>
                <w:bCs/>
                <w:color w:val="000000"/>
                <w:kern w:val="0"/>
                <w:sz w:val="24"/>
                <w:lang w:bidi="ar"/>
              </w:rPr>
              <w:t>序号</w:t>
            </w:r>
          </w:p>
        </w:tc>
        <w:tc>
          <w:tcPr>
            <w:tcW w:w="96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55EF871">
            <w:pPr>
              <w:widowControl/>
              <w:jc w:val="center"/>
              <w:textAlignment w:val="center"/>
              <w:rPr>
                <w:rFonts w:ascii="宋体" w:hAnsi="宋体" w:cs="宋体"/>
                <w:b/>
                <w:bCs/>
                <w:color w:val="000000"/>
                <w:sz w:val="24"/>
              </w:rPr>
            </w:pPr>
            <w:r>
              <w:rPr>
                <w:rFonts w:hint="eastAsia" w:ascii="宋体" w:hAnsi="宋体" w:cs="宋体"/>
                <w:b/>
                <w:bCs/>
                <w:color w:val="000000"/>
                <w:kern w:val="0"/>
                <w:sz w:val="24"/>
                <w:lang w:bidi="ar"/>
              </w:rPr>
              <w:t>功能项</w:t>
            </w:r>
          </w:p>
        </w:tc>
        <w:tc>
          <w:tcPr>
            <w:tcW w:w="590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08D495C">
            <w:pPr>
              <w:widowControl/>
              <w:jc w:val="center"/>
              <w:textAlignment w:val="center"/>
              <w:rPr>
                <w:rFonts w:ascii="宋体" w:hAnsi="宋体" w:cs="宋体"/>
                <w:b/>
                <w:bCs/>
                <w:color w:val="000000"/>
                <w:sz w:val="22"/>
                <w:szCs w:val="22"/>
              </w:rPr>
            </w:pPr>
            <w:r>
              <w:rPr>
                <w:rFonts w:hint="eastAsia" w:ascii="宋体" w:hAnsi="宋体" w:cs="宋体"/>
                <w:b/>
                <w:bCs/>
                <w:color w:val="000000"/>
                <w:kern w:val="0"/>
                <w:sz w:val="22"/>
                <w:szCs w:val="22"/>
                <w:lang w:bidi="ar"/>
              </w:rPr>
              <w:t>服务内容</w:t>
            </w:r>
          </w:p>
        </w:tc>
        <w:tc>
          <w:tcPr>
            <w:tcW w:w="22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B654D5F">
            <w:pPr>
              <w:widowControl/>
              <w:jc w:val="center"/>
              <w:textAlignment w:val="center"/>
              <w:rPr>
                <w:rFonts w:ascii="宋体" w:hAnsi="宋体" w:cs="宋体"/>
                <w:b/>
                <w:bCs/>
                <w:color w:val="000000"/>
                <w:kern w:val="0"/>
                <w:sz w:val="22"/>
                <w:szCs w:val="22"/>
                <w:lang w:bidi="ar"/>
              </w:rPr>
            </w:pPr>
            <w:r>
              <w:rPr>
                <w:rFonts w:hint="eastAsia" w:ascii="宋体" w:hAnsi="宋体" w:cs="宋体"/>
                <w:b/>
                <w:bCs/>
                <w:color w:val="000000"/>
                <w:kern w:val="0"/>
                <w:sz w:val="22"/>
                <w:szCs w:val="22"/>
                <w:lang w:bidi="ar"/>
              </w:rPr>
              <w:t>预算金额</w:t>
            </w:r>
          </w:p>
        </w:tc>
      </w:tr>
      <w:tr w14:paraId="69CBF72E">
        <w:tblPrEx>
          <w:tblCellMar>
            <w:top w:w="0" w:type="dxa"/>
            <w:left w:w="108" w:type="dxa"/>
            <w:bottom w:w="0" w:type="dxa"/>
            <w:right w:w="108" w:type="dxa"/>
          </w:tblCellMar>
        </w:tblPrEx>
        <w:trPr>
          <w:trHeight w:val="577" w:hRule="atLeast"/>
          <w:jc w:val="center"/>
        </w:trPr>
        <w:tc>
          <w:tcPr>
            <w:tcW w:w="56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088FB6">
            <w:pPr>
              <w:widowControl/>
              <w:jc w:val="center"/>
              <w:rPr>
                <w:rFonts w:ascii="仿宋" w:hAnsi="仿宋" w:eastAsia="仿宋" w:cs="宋体"/>
                <w:kern w:val="0"/>
                <w:szCs w:val="21"/>
              </w:rPr>
            </w:pPr>
            <w:r>
              <w:rPr>
                <w:rFonts w:hint="eastAsia" w:ascii="仿宋" w:hAnsi="仿宋" w:eastAsia="仿宋" w:cs="宋体"/>
                <w:kern w:val="0"/>
                <w:szCs w:val="21"/>
              </w:rPr>
              <w:t>1</w:t>
            </w:r>
          </w:p>
          <w:p w14:paraId="46783A0E">
            <w:pPr>
              <w:widowControl/>
              <w:jc w:val="center"/>
              <w:textAlignment w:val="center"/>
              <w:rPr>
                <w:rFonts w:ascii="宋体" w:hAnsi="宋体" w:cs="宋体"/>
                <w:b/>
                <w:bCs/>
                <w:color w:val="000000"/>
                <w:sz w:val="22"/>
                <w:szCs w:val="22"/>
              </w:rPr>
            </w:pPr>
          </w:p>
        </w:tc>
        <w:tc>
          <w:tcPr>
            <w:tcW w:w="96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B292A1">
            <w:pPr>
              <w:spacing w:line="360" w:lineRule="auto"/>
              <w:rPr>
                <w:rFonts w:ascii="仿宋" w:hAnsi="仿宋" w:eastAsia="仿宋" w:cs="宋体"/>
                <w:kern w:val="0"/>
                <w:szCs w:val="21"/>
              </w:rPr>
            </w:pPr>
            <w:r>
              <w:rPr>
                <w:rFonts w:hint="eastAsia" w:ascii="宋体" w:hAnsi="宋体" w:cs="宋体"/>
                <w:kern w:val="0"/>
                <w:sz w:val="20"/>
                <w:szCs w:val="20"/>
                <w:lang w:bidi="ar"/>
              </w:rPr>
              <w:t>密码应用</w:t>
            </w:r>
          </w:p>
          <w:p w14:paraId="15AC9B4E">
            <w:pPr>
              <w:widowControl/>
              <w:jc w:val="center"/>
              <w:textAlignment w:val="center"/>
              <w:rPr>
                <w:rFonts w:ascii="宋体" w:hAnsi="宋体" w:cs="宋体"/>
                <w:color w:val="000000"/>
                <w:szCs w:val="21"/>
              </w:rPr>
            </w:pPr>
          </w:p>
        </w:tc>
        <w:tc>
          <w:tcPr>
            <w:tcW w:w="59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CE27B9">
            <w:pPr>
              <w:spacing w:line="360" w:lineRule="auto"/>
              <w:rPr>
                <w:rFonts w:ascii="宋体" w:hAnsi="宋体" w:cs="宋体"/>
                <w:kern w:val="0"/>
                <w:sz w:val="20"/>
                <w:szCs w:val="20"/>
                <w:lang w:bidi="ar"/>
              </w:rPr>
            </w:pPr>
            <w:r>
              <w:rPr>
                <w:rFonts w:hint="eastAsia" w:ascii="宋体" w:hAnsi="宋体" w:cs="宋体"/>
                <w:kern w:val="0"/>
                <w:sz w:val="20"/>
                <w:szCs w:val="20"/>
                <w:lang w:bidi="ar"/>
              </w:rPr>
              <w:t>提供 7*24 小时电话支持，远程连接支持和技术咨询。</w:t>
            </w:r>
          </w:p>
        </w:tc>
        <w:tc>
          <w:tcPr>
            <w:tcW w:w="2247" w:type="dxa"/>
            <w:vMerge w:val="restart"/>
            <w:tcBorders>
              <w:top w:val="single" w:color="000000" w:sz="4" w:space="0"/>
              <w:left w:val="single" w:color="000000" w:sz="4" w:space="0"/>
              <w:right w:val="single" w:color="000000" w:sz="4" w:space="0"/>
            </w:tcBorders>
            <w:shd w:val="clear" w:color="auto" w:fill="auto"/>
            <w:vAlign w:val="center"/>
          </w:tcPr>
          <w:p w14:paraId="325858DC">
            <w:pPr>
              <w:spacing w:line="360" w:lineRule="auto"/>
              <w:jc w:val="center"/>
              <w:rPr>
                <w:rFonts w:ascii="仿宋" w:hAnsi="仿宋" w:eastAsia="仿宋" w:cs="宋体"/>
                <w:kern w:val="0"/>
                <w:szCs w:val="21"/>
              </w:rPr>
            </w:pPr>
            <w:r>
              <w:rPr>
                <w:rFonts w:hint="eastAsia" w:ascii="宋体" w:hAnsi="宋体" w:cs="宋体"/>
                <w:kern w:val="0"/>
                <w:sz w:val="20"/>
                <w:szCs w:val="20"/>
                <w:lang w:bidi="ar"/>
              </w:rPr>
              <w:t>5万元</w:t>
            </w:r>
          </w:p>
        </w:tc>
      </w:tr>
      <w:tr w14:paraId="46B123B7">
        <w:tblPrEx>
          <w:tblCellMar>
            <w:top w:w="0" w:type="dxa"/>
            <w:left w:w="108" w:type="dxa"/>
            <w:bottom w:w="0" w:type="dxa"/>
            <w:right w:w="108" w:type="dxa"/>
          </w:tblCellMar>
        </w:tblPrEx>
        <w:trPr>
          <w:trHeight w:val="580" w:hRule="atLeast"/>
          <w:jc w:val="center"/>
        </w:trPr>
        <w:tc>
          <w:tcPr>
            <w:tcW w:w="560"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0D13561">
            <w:pPr>
              <w:jc w:val="center"/>
              <w:rPr>
                <w:rFonts w:ascii="宋体" w:hAnsi="宋体" w:cs="宋体"/>
                <w:b/>
                <w:bCs/>
                <w:color w:val="000000"/>
                <w:sz w:val="22"/>
                <w:szCs w:val="22"/>
              </w:rPr>
            </w:pPr>
          </w:p>
        </w:tc>
        <w:tc>
          <w:tcPr>
            <w:tcW w:w="968"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A0D6E8C">
            <w:pPr>
              <w:jc w:val="center"/>
              <w:rPr>
                <w:rFonts w:ascii="宋体" w:hAnsi="宋体" w:cs="宋体"/>
                <w:color w:val="000000"/>
                <w:szCs w:val="21"/>
              </w:rPr>
            </w:pPr>
          </w:p>
        </w:tc>
        <w:tc>
          <w:tcPr>
            <w:tcW w:w="59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1AEE06">
            <w:pPr>
              <w:spacing w:line="360" w:lineRule="auto"/>
              <w:rPr>
                <w:rFonts w:ascii="宋体" w:hAnsi="宋体" w:cs="宋体"/>
                <w:kern w:val="0"/>
                <w:sz w:val="20"/>
                <w:szCs w:val="20"/>
                <w:lang w:bidi="ar"/>
              </w:rPr>
            </w:pPr>
            <w:r>
              <w:rPr>
                <w:rFonts w:hint="eastAsia" w:ascii="宋体" w:hAnsi="宋体" w:cs="宋体"/>
                <w:kern w:val="0"/>
                <w:sz w:val="20"/>
                <w:szCs w:val="20"/>
                <w:lang w:bidi="ar"/>
              </w:rPr>
              <w:t>提供温州本地现场服务。</w:t>
            </w:r>
          </w:p>
        </w:tc>
        <w:tc>
          <w:tcPr>
            <w:tcW w:w="2247" w:type="dxa"/>
            <w:vMerge w:val="continue"/>
            <w:tcBorders>
              <w:left w:val="single" w:color="000000" w:sz="4" w:space="0"/>
              <w:right w:val="single" w:color="000000" w:sz="4" w:space="0"/>
            </w:tcBorders>
            <w:shd w:val="clear" w:color="auto" w:fill="auto"/>
            <w:vAlign w:val="center"/>
          </w:tcPr>
          <w:p w14:paraId="58613B5E">
            <w:pPr>
              <w:spacing w:line="0" w:lineRule="atLeast"/>
              <w:rPr>
                <w:rFonts w:ascii="仿宋" w:hAnsi="仿宋" w:eastAsia="仿宋" w:cs="宋体"/>
                <w:kern w:val="0"/>
                <w:szCs w:val="21"/>
              </w:rPr>
            </w:pPr>
          </w:p>
        </w:tc>
      </w:tr>
      <w:tr w14:paraId="6812100A">
        <w:tblPrEx>
          <w:tblCellMar>
            <w:top w:w="0" w:type="dxa"/>
            <w:left w:w="108" w:type="dxa"/>
            <w:bottom w:w="0" w:type="dxa"/>
            <w:right w:w="108" w:type="dxa"/>
          </w:tblCellMar>
        </w:tblPrEx>
        <w:trPr>
          <w:trHeight w:val="2587" w:hRule="atLeast"/>
          <w:jc w:val="center"/>
        </w:trPr>
        <w:tc>
          <w:tcPr>
            <w:tcW w:w="560"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6F22770">
            <w:pPr>
              <w:jc w:val="center"/>
              <w:rPr>
                <w:rFonts w:ascii="宋体" w:hAnsi="宋体" w:cs="宋体"/>
                <w:b/>
                <w:bCs/>
                <w:color w:val="000000"/>
                <w:sz w:val="22"/>
                <w:szCs w:val="22"/>
              </w:rPr>
            </w:pPr>
          </w:p>
        </w:tc>
        <w:tc>
          <w:tcPr>
            <w:tcW w:w="968"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B76E68D">
            <w:pPr>
              <w:jc w:val="center"/>
              <w:rPr>
                <w:rFonts w:ascii="宋体" w:hAnsi="宋体" w:cs="宋体"/>
                <w:color w:val="000000"/>
                <w:szCs w:val="21"/>
              </w:rPr>
            </w:pPr>
          </w:p>
        </w:tc>
        <w:tc>
          <w:tcPr>
            <w:tcW w:w="59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A56E67">
            <w:pPr>
              <w:spacing w:line="360" w:lineRule="auto"/>
              <w:rPr>
                <w:rFonts w:ascii="宋体" w:hAnsi="宋体" w:cs="宋体"/>
                <w:kern w:val="0"/>
                <w:sz w:val="20"/>
                <w:szCs w:val="20"/>
                <w:lang w:bidi="ar"/>
              </w:rPr>
            </w:pPr>
            <w:r>
              <w:rPr>
                <w:rFonts w:hint="eastAsia" w:ascii="宋体" w:hAnsi="宋体" w:cs="宋体"/>
                <w:kern w:val="0"/>
                <w:sz w:val="20"/>
                <w:szCs w:val="20"/>
                <w:lang w:bidi="ar"/>
              </w:rPr>
              <w:t>将数据库中物理磁盘镜像设置为虚拟加密磁盘，并在新增加密磁盘上挂载加密文件系统。数据被写入加密文件系统所挂载的文件夹，即可实现数据的加密。加密文件系统所需的密钥与权限信息通过温州卫健委统一建设的密码服务平台、密钥管理服务器进行集中管理与权限下发，实现安全隔离。数据库加密服务支持CentOS、中标麒麟、RedHat、Windows server等操作系统下的多类型数据库加密。</w:t>
            </w:r>
          </w:p>
          <w:p w14:paraId="3E1FB9B8">
            <w:pPr>
              <w:spacing w:line="360" w:lineRule="auto"/>
              <w:rPr>
                <w:rFonts w:hint="eastAsia" w:ascii="宋体" w:hAnsi="宋体" w:cs="宋体"/>
                <w:kern w:val="0"/>
                <w:sz w:val="20"/>
                <w:szCs w:val="20"/>
                <w:lang w:bidi="ar"/>
              </w:rPr>
            </w:pPr>
            <w:r>
              <w:rPr>
                <w:color w:val="353535"/>
                <w:kern w:val="0"/>
                <w:sz w:val="20"/>
                <w:szCs w:val="20"/>
              </w:rPr>
              <w:t>▲</w:t>
            </w:r>
            <w:r>
              <w:rPr>
                <w:rFonts w:hint="eastAsia" w:ascii="宋体" w:hAnsi="宋体" w:cs=".PingFang SC"/>
                <w:color w:val="353535"/>
                <w:kern w:val="0"/>
                <w:sz w:val="20"/>
                <w:szCs w:val="20"/>
              </w:rPr>
              <w:t>支持与温州卫健委密码服务管理平台对接，实现统一管理（提供原厂承诺函）</w:t>
            </w:r>
          </w:p>
        </w:tc>
        <w:tc>
          <w:tcPr>
            <w:tcW w:w="2247" w:type="dxa"/>
            <w:vMerge w:val="continue"/>
            <w:tcBorders>
              <w:left w:val="single" w:color="000000" w:sz="4" w:space="0"/>
              <w:bottom w:val="single" w:color="000000" w:sz="4" w:space="0"/>
              <w:right w:val="single" w:color="000000" w:sz="4" w:space="0"/>
            </w:tcBorders>
            <w:shd w:val="clear" w:color="auto" w:fill="auto"/>
            <w:vAlign w:val="center"/>
          </w:tcPr>
          <w:p w14:paraId="48BF7B9A">
            <w:pPr>
              <w:widowControl/>
              <w:rPr>
                <w:rFonts w:ascii="仿宋" w:hAnsi="仿宋" w:eastAsia="仿宋" w:cs="宋体"/>
                <w:kern w:val="0"/>
                <w:szCs w:val="21"/>
              </w:rPr>
            </w:pPr>
          </w:p>
        </w:tc>
      </w:tr>
    </w:tbl>
    <w:p w14:paraId="58DECB75">
      <w:pPr>
        <w:pStyle w:val="2"/>
        <w:numPr>
          <w:ilvl w:val="0"/>
          <w:numId w:val="0"/>
        </w:numPr>
      </w:pPr>
      <w:r>
        <w:rPr>
          <w:rFonts w:hint="eastAsia"/>
        </w:rPr>
        <w:t>密码应用服务技术要求</w:t>
      </w:r>
    </w:p>
    <w:tbl>
      <w:tblPr>
        <w:tblStyle w:val="18"/>
        <w:tblW w:w="566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5"/>
        <w:gridCol w:w="7524"/>
      </w:tblGrid>
      <w:tr w14:paraId="07ECBC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1105" w:type="pct"/>
            <w:shd w:val="clear" w:color="000000" w:fill="BFBFBF"/>
            <w:vAlign w:val="center"/>
          </w:tcPr>
          <w:p w14:paraId="349931F9">
            <w:pPr>
              <w:widowControl/>
              <w:jc w:val="center"/>
              <w:rPr>
                <w:rFonts w:ascii="宋体" w:hAnsi="宋体"/>
                <w:b/>
                <w:bCs/>
                <w:color w:val="000000"/>
                <w:kern w:val="0"/>
                <w:szCs w:val="21"/>
              </w:rPr>
            </w:pPr>
            <w:r>
              <w:rPr>
                <w:rFonts w:hint="eastAsia" w:ascii="宋体" w:hAnsi="宋体"/>
                <w:b/>
                <w:bCs/>
                <w:color w:val="000000"/>
                <w:kern w:val="0"/>
                <w:szCs w:val="21"/>
              </w:rPr>
              <w:t>指标项</w:t>
            </w:r>
          </w:p>
        </w:tc>
        <w:tc>
          <w:tcPr>
            <w:tcW w:w="3894" w:type="pct"/>
            <w:shd w:val="clear" w:color="auto" w:fill="BEBEBE"/>
            <w:vAlign w:val="center"/>
          </w:tcPr>
          <w:p w14:paraId="4FD59509">
            <w:pPr>
              <w:widowControl/>
              <w:jc w:val="center"/>
              <w:rPr>
                <w:rFonts w:ascii="宋体" w:hAnsi="宋体"/>
                <w:b/>
                <w:bCs/>
                <w:color w:val="000000"/>
                <w:kern w:val="0"/>
                <w:szCs w:val="21"/>
              </w:rPr>
            </w:pPr>
            <w:r>
              <w:rPr>
                <w:rFonts w:hint="eastAsia" w:ascii="宋体" w:hAnsi="宋体"/>
                <w:b/>
                <w:bCs/>
                <w:color w:val="000000"/>
                <w:kern w:val="0"/>
                <w:szCs w:val="21"/>
              </w:rPr>
              <w:t>技术要求</w:t>
            </w:r>
          </w:p>
        </w:tc>
      </w:tr>
      <w:tr w14:paraId="16C2EF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1" w:hRule="atLeast"/>
          <w:jc w:val="center"/>
        </w:trPr>
        <w:tc>
          <w:tcPr>
            <w:tcW w:w="1105" w:type="pct"/>
            <w:vAlign w:val="center"/>
          </w:tcPr>
          <w:p w14:paraId="1414B037">
            <w:pPr>
              <w:widowControl/>
              <w:jc w:val="center"/>
              <w:rPr>
                <w:rFonts w:ascii="宋体" w:hAnsi="宋体"/>
                <w:bCs/>
                <w:color w:val="000000"/>
                <w:kern w:val="0"/>
                <w:sz w:val="20"/>
                <w:szCs w:val="20"/>
              </w:rPr>
            </w:pPr>
            <w:r>
              <w:rPr>
                <w:rFonts w:hint="eastAsia" w:ascii="宋体" w:hAnsi="宋体"/>
                <w:bCs/>
                <w:color w:val="000000"/>
                <w:kern w:val="0"/>
                <w:sz w:val="20"/>
                <w:szCs w:val="20"/>
              </w:rPr>
              <w:t>服务要求</w:t>
            </w:r>
          </w:p>
        </w:tc>
        <w:tc>
          <w:tcPr>
            <w:tcW w:w="3894" w:type="pct"/>
            <w:vAlign w:val="center"/>
          </w:tcPr>
          <w:p w14:paraId="0E66DE94">
            <w:pPr>
              <w:widowControl/>
              <w:jc w:val="left"/>
              <w:rPr>
                <w:rFonts w:hint="eastAsia" w:ascii="宋体" w:hAnsi="宋体" w:cs=".PingFang SC"/>
                <w:color w:val="353535"/>
                <w:kern w:val="0"/>
                <w:sz w:val="20"/>
                <w:szCs w:val="20"/>
              </w:rPr>
            </w:pPr>
            <w:r>
              <w:rPr>
                <w:rFonts w:hint="eastAsia" w:ascii="宋体" w:hAnsi="宋体" w:cs=".PingFang SC"/>
                <w:color w:val="353535"/>
                <w:kern w:val="0"/>
                <w:sz w:val="20"/>
                <w:szCs w:val="20"/>
              </w:rPr>
              <w:t>为医院提供1个数据库透明存储加密授权</w:t>
            </w:r>
          </w:p>
        </w:tc>
      </w:tr>
      <w:tr w14:paraId="6F73AB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1" w:hRule="atLeast"/>
          <w:jc w:val="center"/>
        </w:trPr>
        <w:tc>
          <w:tcPr>
            <w:tcW w:w="1105" w:type="pct"/>
            <w:vMerge w:val="restart"/>
            <w:vAlign w:val="center"/>
          </w:tcPr>
          <w:p w14:paraId="2B5D29C8">
            <w:pPr>
              <w:widowControl/>
              <w:jc w:val="center"/>
              <w:rPr>
                <w:rFonts w:ascii="宋体" w:hAnsi="宋体"/>
                <w:bCs/>
                <w:color w:val="000000"/>
                <w:kern w:val="0"/>
                <w:sz w:val="20"/>
                <w:szCs w:val="20"/>
              </w:rPr>
            </w:pPr>
            <w:r>
              <w:rPr>
                <w:rFonts w:hint="eastAsia" w:ascii="宋体" w:hAnsi="宋体"/>
                <w:bCs/>
                <w:color w:val="000000"/>
                <w:kern w:val="0"/>
                <w:sz w:val="20"/>
                <w:szCs w:val="20"/>
              </w:rPr>
              <w:t>数据安全性</w:t>
            </w:r>
          </w:p>
        </w:tc>
        <w:tc>
          <w:tcPr>
            <w:tcW w:w="3894" w:type="pct"/>
            <w:vAlign w:val="center"/>
          </w:tcPr>
          <w:p w14:paraId="750F8472">
            <w:pPr>
              <w:widowControl/>
              <w:jc w:val="left"/>
              <w:rPr>
                <w:rFonts w:ascii="宋体" w:hAnsi="宋体" w:cs=".PingFang SC"/>
                <w:color w:val="353535"/>
                <w:kern w:val="0"/>
                <w:sz w:val="20"/>
                <w:szCs w:val="20"/>
              </w:rPr>
            </w:pPr>
            <w:r>
              <w:rPr>
                <w:rFonts w:hint="eastAsia" w:ascii="宋体" w:hAnsi="宋体" w:cs=".PingFang SC"/>
                <w:color w:val="353535"/>
                <w:kern w:val="0"/>
                <w:sz w:val="20"/>
                <w:szCs w:val="20"/>
              </w:rPr>
              <w:t>★提供安全访问控制功能，可限制访问数据库的具体进程。基于进程的权限管控增强数据库的访问控制，只能通过指定的进程访问密文，而无法使用命令行等其他方式访问密文数据（提供功能截图证明）</w:t>
            </w:r>
          </w:p>
        </w:tc>
      </w:tr>
      <w:tr w14:paraId="1AE758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jc w:val="center"/>
        </w:trPr>
        <w:tc>
          <w:tcPr>
            <w:tcW w:w="1105" w:type="pct"/>
            <w:vMerge w:val="continue"/>
            <w:vAlign w:val="center"/>
          </w:tcPr>
          <w:p w14:paraId="09E9B322">
            <w:pPr>
              <w:widowControl/>
              <w:jc w:val="center"/>
              <w:rPr>
                <w:rFonts w:ascii="宋体" w:hAnsi="宋体"/>
                <w:bCs/>
                <w:color w:val="000000"/>
                <w:kern w:val="0"/>
                <w:sz w:val="20"/>
                <w:szCs w:val="20"/>
              </w:rPr>
            </w:pPr>
          </w:p>
        </w:tc>
        <w:tc>
          <w:tcPr>
            <w:tcW w:w="3894" w:type="pct"/>
            <w:vAlign w:val="center"/>
          </w:tcPr>
          <w:p w14:paraId="163D2DE4">
            <w:pPr>
              <w:widowControl/>
              <w:jc w:val="left"/>
              <w:rPr>
                <w:rFonts w:ascii="宋体" w:hAnsi="宋体" w:cs=".PingFang SC"/>
                <w:color w:val="353535"/>
                <w:kern w:val="0"/>
                <w:sz w:val="20"/>
                <w:szCs w:val="20"/>
              </w:rPr>
            </w:pPr>
            <w:r>
              <w:rPr>
                <w:rFonts w:hint="eastAsia" w:ascii="宋体" w:hAnsi="宋体" w:cs=".PingFang SC"/>
                <w:color w:val="353535"/>
                <w:kern w:val="0"/>
                <w:sz w:val="20"/>
                <w:szCs w:val="20"/>
              </w:rPr>
              <w:t>支持结构化和非结构化数据加密，通过将数据存储至虚拟加密磁盘，即可实现数据落盘加密，解决数据存储格式多导致加密复杂的问题</w:t>
            </w:r>
          </w:p>
        </w:tc>
      </w:tr>
      <w:tr w14:paraId="12C941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jc w:val="center"/>
        </w:trPr>
        <w:tc>
          <w:tcPr>
            <w:tcW w:w="1105" w:type="pct"/>
            <w:vMerge w:val="continue"/>
            <w:vAlign w:val="center"/>
          </w:tcPr>
          <w:p w14:paraId="7AB5FDF8">
            <w:pPr>
              <w:widowControl/>
              <w:jc w:val="center"/>
              <w:rPr>
                <w:rFonts w:ascii="宋体" w:hAnsi="宋体"/>
                <w:bCs/>
                <w:color w:val="000000"/>
                <w:kern w:val="0"/>
                <w:sz w:val="20"/>
                <w:szCs w:val="20"/>
              </w:rPr>
            </w:pPr>
          </w:p>
        </w:tc>
        <w:tc>
          <w:tcPr>
            <w:tcW w:w="3894" w:type="pct"/>
            <w:vAlign w:val="center"/>
          </w:tcPr>
          <w:p w14:paraId="4907A09B">
            <w:pPr>
              <w:widowControl/>
              <w:jc w:val="left"/>
              <w:rPr>
                <w:rFonts w:ascii="宋体" w:hAnsi="宋体" w:cs=".PingFang SC"/>
                <w:color w:val="353535"/>
                <w:kern w:val="0"/>
                <w:sz w:val="20"/>
                <w:szCs w:val="20"/>
              </w:rPr>
            </w:pPr>
            <w:r>
              <w:rPr>
                <w:rFonts w:hint="eastAsia" w:ascii="宋体" w:hAnsi="宋体" w:cs=".PingFang SC"/>
                <w:color w:val="353535"/>
                <w:kern w:val="0"/>
                <w:sz w:val="20"/>
                <w:szCs w:val="20"/>
              </w:rPr>
              <w:t>密文密钥分离机制，防止磁盘丢失、非法用户文件拷贝等原因导致的数据泄露，没有密钥无法解密查看明文数据，确保数据库存储的安全性。</w:t>
            </w:r>
          </w:p>
        </w:tc>
      </w:tr>
      <w:tr w14:paraId="2AF05B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jc w:val="center"/>
        </w:trPr>
        <w:tc>
          <w:tcPr>
            <w:tcW w:w="1105" w:type="pct"/>
            <w:vAlign w:val="center"/>
          </w:tcPr>
          <w:p w14:paraId="76983018">
            <w:pPr>
              <w:widowControl/>
              <w:jc w:val="center"/>
              <w:rPr>
                <w:rFonts w:ascii="宋体" w:hAnsi="宋体"/>
                <w:bCs/>
                <w:color w:val="000000"/>
                <w:kern w:val="0"/>
                <w:sz w:val="20"/>
                <w:szCs w:val="20"/>
              </w:rPr>
            </w:pPr>
            <w:r>
              <w:rPr>
                <w:rFonts w:hint="eastAsia" w:ascii="宋体" w:hAnsi="宋体"/>
                <w:bCs/>
                <w:color w:val="000000"/>
                <w:kern w:val="0"/>
                <w:sz w:val="20"/>
                <w:szCs w:val="20"/>
              </w:rPr>
              <w:t>部署</w:t>
            </w:r>
          </w:p>
          <w:p w14:paraId="7451DC30">
            <w:pPr>
              <w:widowControl/>
              <w:jc w:val="center"/>
              <w:rPr>
                <w:rFonts w:ascii="宋体" w:hAnsi="宋体"/>
                <w:bCs/>
                <w:color w:val="000000"/>
                <w:kern w:val="0"/>
                <w:sz w:val="20"/>
                <w:szCs w:val="20"/>
              </w:rPr>
            </w:pPr>
            <w:r>
              <w:rPr>
                <w:rFonts w:hint="eastAsia" w:ascii="宋体" w:hAnsi="宋体"/>
                <w:bCs/>
                <w:color w:val="000000"/>
                <w:kern w:val="0"/>
                <w:sz w:val="20"/>
                <w:szCs w:val="20"/>
              </w:rPr>
              <w:t>便捷性</w:t>
            </w:r>
          </w:p>
        </w:tc>
        <w:tc>
          <w:tcPr>
            <w:tcW w:w="3894" w:type="pct"/>
            <w:vAlign w:val="center"/>
          </w:tcPr>
          <w:p w14:paraId="5D81D6FA">
            <w:pPr>
              <w:widowControl/>
              <w:jc w:val="left"/>
              <w:rPr>
                <w:rFonts w:ascii="宋体" w:hAnsi="宋体" w:cs=".PingFang SC"/>
                <w:color w:val="353535"/>
                <w:kern w:val="0"/>
                <w:sz w:val="20"/>
                <w:szCs w:val="20"/>
              </w:rPr>
            </w:pPr>
            <w:r>
              <w:rPr>
                <w:rFonts w:hint="eastAsia" w:ascii="宋体" w:hAnsi="宋体" w:cs=".PingFang SC"/>
                <w:color w:val="353535"/>
                <w:kern w:val="0"/>
                <w:sz w:val="20"/>
                <w:szCs w:val="20"/>
              </w:rPr>
              <w:t>支持SQL、PL/SQL、JDBC、ODBC的透明性，不需要改造</w:t>
            </w:r>
          </w:p>
        </w:tc>
      </w:tr>
      <w:tr w14:paraId="61CBDB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1" w:hRule="atLeast"/>
          <w:jc w:val="center"/>
        </w:trPr>
        <w:tc>
          <w:tcPr>
            <w:tcW w:w="1105" w:type="pct"/>
            <w:vAlign w:val="center"/>
          </w:tcPr>
          <w:p w14:paraId="3D7455F0">
            <w:pPr>
              <w:widowControl/>
              <w:jc w:val="center"/>
              <w:rPr>
                <w:rFonts w:ascii="宋体" w:hAnsi="宋体"/>
                <w:bCs/>
                <w:color w:val="000000"/>
                <w:kern w:val="0"/>
                <w:sz w:val="20"/>
                <w:szCs w:val="20"/>
              </w:rPr>
            </w:pPr>
            <w:r>
              <w:rPr>
                <w:rFonts w:hint="eastAsia" w:ascii="宋体" w:hAnsi="宋体"/>
                <w:bCs/>
                <w:color w:val="000000"/>
                <w:kern w:val="0"/>
                <w:sz w:val="20"/>
                <w:szCs w:val="20"/>
              </w:rPr>
              <w:t>透明性</w:t>
            </w:r>
          </w:p>
        </w:tc>
        <w:tc>
          <w:tcPr>
            <w:tcW w:w="3894" w:type="pct"/>
            <w:vAlign w:val="center"/>
          </w:tcPr>
          <w:p w14:paraId="37153C8F">
            <w:pPr>
              <w:widowControl/>
              <w:jc w:val="left"/>
              <w:rPr>
                <w:rFonts w:ascii="宋体" w:hAnsi="宋体" w:cs=".PingFang SC"/>
                <w:color w:val="353535"/>
                <w:kern w:val="0"/>
                <w:sz w:val="20"/>
                <w:szCs w:val="20"/>
              </w:rPr>
            </w:pPr>
            <w:r>
              <w:rPr>
                <w:rFonts w:hint="eastAsia" w:ascii="宋体" w:hAnsi="宋体" w:cs=".PingFang SC"/>
                <w:color w:val="353535"/>
                <w:kern w:val="0"/>
                <w:sz w:val="20"/>
                <w:szCs w:val="20"/>
              </w:rPr>
              <w:t>支持通过数据库系统安装数据库加密软件，配合后端数据库加密服务器，实现数据库文件级存储机密性、完整性保护，加解密对上层应用访问过程完全透明，不影响数据库日常操作，对系统影响最小化</w:t>
            </w:r>
          </w:p>
        </w:tc>
      </w:tr>
      <w:tr w14:paraId="22323E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jc w:val="center"/>
        </w:trPr>
        <w:tc>
          <w:tcPr>
            <w:tcW w:w="1105" w:type="pct"/>
            <w:vAlign w:val="center"/>
          </w:tcPr>
          <w:p w14:paraId="4E05CA14">
            <w:pPr>
              <w:widowControl/>
              <w:jc w:val="center"/>
              <w:rPr>
                <w:rFonts w:ascii="宋体" w:hAnsi="宋体"/>
                <w:bCs/>
                <w:color w:val="000000"/>
                <w:kern w:val="0"/>
                <w:sz w:val="20"/>
                <w:szCs w:val="20"/>
              </w:rPr>
            </w:pPr>
            <w:r>
              <w:rPr>
                <w:rFonts w:hint="eastAsia" w:ascii="宋体" w:hAnsi="宋体"/>
                <w:bCs/>
                <w:color w:val="000000"/>
                <w:kern w:val="0"/>
                <w:sz w:val="20"/>
                <w:szCs w:val="20"/>
              </w:rPr>
              <w:t>高效加密增益读写能力</w:t>
            </w:r>
          </w:p>
        </w:tc>
        <w:tc>
          <w:tcPr>
            <w:tcW w:w="3894" w:type="pct"/>
            <w:vAlign w:val="center"/>
          </w:tcPr>
          <w:p w14:paraId="7CAD5EA5">
            <w:pPr>
              <w:widowControl/>
              <w:jc w:val="left"/>
              <w:rPr>
                <w:rFonts w:ascii="宋体" w:hAnsi="宋体" w:cs=".PingFang SC"/>
                <w:color w:val="353535"/>
                <w:kern w:val="0"/>
                <w:sz w:val="20"/>
                <w:szCs w:val="20"/>
              </w:rPr>
            </w:pPr>
            <w:r>
              <w:rPr>
                <w:rFonts w:hint="eastAsia" w:ascii="宋体" w:hAnsi="宋体" w:cs=".PingFang SC"/>
                <w:color w:val="353535"/>
                <w:kern w:val="0"/>
                <w:sz w:val="20"/>
                <w:szCs w:val="20"/>
              </w:rPr>
              <w:t>所提供数据库加密系统，具有优化数据库写入速率的能力，加密后提升数据库的TPS、QPS（提供≥5份实际测试报告材料证明）</w:t>
            </w:r>
          </w:p>
        </w:tc>
      </w:tr>
      <w:tr w14:paraId="560ECD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1" w:hRule="atLeast"/>
          <w:jc w:val="center"/>
        </w:trPr>
        <w:tc>
          <w:tcPr>
            <w:tcW w:w="1105" w:type="pct"/>
            <w:vAlign w:val="center"/>
          </w:tcPr>
          <w:p w14:paraId="39EDA45B">
            <w:pPr>
              <w:widowControl/>
              <w:jc w:val="center"/>
              <w:rPr>
                <w:rFonts w:ascii="宋体" w:hAnsi="宋体"/>
                <w:bCs/>
                <w:color w:val="000000"/>
                <w:kern w:val="0"/>
                <w:sz w:val="20"/>
                <w:szCs w:val="20"/>
              </w:rPr>
            </w:pPr>
            <w:r>
              <w:rPr>
                <w:rFonts w:hint="eastAsia" w:ascii="宋体" w:hAnsi="宋体"/>
                <w:bCs/>
                <w:color w:val="000000"/>
                <w:kern w:val="0"/>
                <w:sz w:val="20"/>
                <w:szCs w:val="20"/>
              </w:rPr>
              <w:t>完整性校验</w:t>
            </w:r>
          </w:p>
        </w:tc>
        <w:tc>
          <w:tcPr>
            <w:tcW w:w="3894" w:type="pct"/>
            <w:vAlign w:val="center"/>
          </w:tcPr>
          <w:p w14:paraId="7669516C">
            <w:pPr>
              <w:widowControl/>
              <w:jc w:val="left"/>
              <w:rPr>
                <w:rFonts w:ascii="宋体" w:hAnsi="宋体" w:cs=".PingFang SC"/>
                <w:color w:val="353535"/>
                <w:kern w:val="0"/>
                <w:sz w:val="20"/>
                <w:szCs w:val="20"/>
              </w:rPr>
            </w:pPr>
            <w:r>
              <w:rPr>
                <w:rFonts w:hint="eastAsia" w:ascii="宋体" w:hAnsi="宋体" w:cs=".PingFang SC"/>
                <w:color w:val="353535"/>
                <w:kern w:val="0"/>
                <w:sz w:val="20"/>
                <w:szCs w:val="20"/>
              </w:rPr>
              <w:t>支持数据完整性校验功能，在应用写数据时使用国密密码模块对数据计算HMAC校验值并存放至校验分区，在应用读数据时计算HMAC校验值并和分区中的校验值进行比对，校验通过才能正常读取，以保证数据的完整性。</w:t>
            </w:r>
          </w:p>
        </w:tc>
      </w:tr>
      <w:tr w14:paraId="44F45E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jc w:val="center"/>
        </w:trPr>
        <w:tc>
          <w:tcPr>
            <w:tcW w:w="1105" w:type="pct"/>
            <w:vAlign w:val="center"/>
          </w:tcPr>
          <w:p w14:paraId="205E1F9A">
            <w:pPr>
              <w:widowControl/>
              <w:jc w:val="center"/>
              <w:rPr>
                <w:rFonts w:ascii="宋体" w:hAnsi="宋体"/>
                <w:bCs/>
                <w:color w:val="000000"/>
                <w:kern w:val="0"/>
                <w:sz w:val="20"/>
                <w:szCs w:val="20"/>
              </w:rPr>
            </w:pPr>
            <w:r>
              <w:rPr>
                <w:rFonts w:hint="eastAsia" w:ascii="宋体" w:hAnsi="宋体"/>
                <w:bCs/>
                <w:color w:val="000000"/>
                <w:kern w:val="0"/>
                <w:sz w:val="20"/>
                <w:szCs w:val="20"/>
              </w:rPr>
              <w:t>权限隔离</w:t>
            </w:r>
          </w:p>
        </w:tc>
        <w:tc>
          <w:tcPr>
            <w:tcW w:w="3894" w:type="pct"/>
            <w:vAlign w:val="center"/>
          </w:tcPr>
          <w:p w14:paraId="5C8B3708">
            <w:pPr>
              <w:widowControl/>
              <w:jc w:val="left"/>
              <w:rPr>
                <w:rFonts w:ascii="宋体" w:hAnsi="宋体" w:cs=".PingFang SC"/>
                <w:color w:val="353535"/>
                <w:kern w:val="0"/>
                <w:sz w:val="20"/>
                <w:szCs w:val="20"/>
              </w:rPr>
            </w:pPr>
            <w:r>
              <w:rPr>
                <w:rFonts w:hint="eastAsia" w:ascii="宋体" w:hAnsi="宋体" w:cs=".PingFang SC"/>
                <w:color w:val="353535"/>
                <w:kern w:val="0"/>
                <w:sz w:val="20"/>
                <w:szCs w:val="20"/>
              </w:rPr>
              <w:t>支持三权分立账号体系，内置管理员、操作员、审计员三种身份角色，支持按角色创建分配账号。</w:t>
            </w:r>
          </w:p>
        </w:tc>
      </w:tr>
      <w:tr w14:paraId="50551F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jc w:val="center"/>
        </w:trPr>
        <w:tc>
          <w:tcPr>
            <w:tcW w:w="1105" w:type="pct"/>
            <w:vAlign w:val="center"/>
          </w:tcPr>
          <w:p w14:paraId="00BA8CBE">
            <w:pPr>
              <w:widowControl/>
              <w:jc w:val="center"/>
              <w:rPr>
                <w:rFonts w:ascii="宋体" w:hAnsi="宋体"/>
                <w:bCs/>
                <w:kern w:val="0"/>
                <w:sz w:val="20"/>
                <w:szCs w:val="20"/>
              </w:rPr>
            </w:pPr>
            <w:r>
              <w:rPr>
                <w:rFonts w:hint="eastAsia" w:ascii="宋体" w:hAnsi="宋体"/>
                <w:bCs/>
                <w:kern w:val="0"/>
                <w:sz w:val="20"/>
                <w:szCs w:val="20"/>
              </w:rPr>
              <w:t>数据库兼容性</w:t>
            </w:r>
          </w:p>
        </w:tc>
        <w:tc>
          <w:tcPr>
            <w:tcW w:w="3894" w:type="pct"/>
            <w:vAlign w:val="center"/>
          </w:tcPr>
          <w:p w14:paraId="0D035D4A">
            <w:pPr>
              <w:widowControl/>
              <w:jc w:val="left"/>
              <w:rPr>
                <w:rFonts w:ascii="宋体" w:hAnsi="宋体" w:cs=".PingFang SC"/>
                <w:color w:val="353535"/>
                <w:kern w:val="0"/>
                <w:sz w:val="20"/>
                <w:szCs w:val="20"/>
              </w:rPr>
            </w:pPr>
            <w:r>
              <w:rPr>
                <w:rFonts w:hint="eastAsia" w:ascii="宋体" w:hAnsi="宋体" w:cs=".PingFang SC"/>
                <w:color w:val="353535"/>
                <w:kern w:val="0"/>
                <w:sz w:val="20"/>
                <w:szCs w:val="20"/>
              </w:rPr>
              <w:t>★数据库加密服务支持多种数据库类型，包括但不限于MySQL、Oracle、SQLServer、postgresql、mongDB、ElasticSearch、hive、TIDB、redis、PXC、达梦、神通、人大金仓、mariadb等</w:t>
            </w:r>
          </w:p>
        </w:tc>
      </w:tr>
      <w:tr w14:paraId="236DCB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jc w:val="center"/>
        </w:trPr>
        <w:tc>
          <w:tcPr>
            <w:tcW w:w="1105" w:type="pct"/>
            <w:vAlign w:val="center"/>
          </w:tcPr>
          <w:p w14:paraId="4466D4E8">
            <w:pPr>
              <w:widowControl/>
              <w:jc w:val="center"/>
              <w:rPr>
                <w:rFonts w:ascii="宋体" w:hAnsi="宋体"/>
                <w:bCs/>
                <w:kern w:val="0"/>
                <w:sz w:val="20"/>
                <w:szCs w:val="20"/>
              </w:rPr>
            </w:pPr>
            <w:r>
              <w:rPr>
                <w:rFonts w:hint="eastAsia" w:ascii="宋体" w:hAnsi="宋体"/>
                <w:bCs/>
                <w:kern w:val="0"/>
                <w:sz w:val="20"/>
                <w:szCs w:val="20"/>
              </w:rPr>
              <w:t>系统兼容性</w:t>
            </w:r>
          </w:p>
        </w:tc>
        <w:tc>
          <w:tcPr>
            <w:tcW w:w="3894" w:type="pct"/>
            <w:vAlign w:val="center"/>
          </w:tcPr>
          <w:p w14:paraId="218E37EC">
            <w:pPr>
              <w:widowControl/>
              <w:jc w:val="left"/>
              <w:rPr>
                <w:rFonts w:ascii="宋体" w:hAnsi="宋体" w:cs=".PingFang SC"/>
                <w:color w:val="353535"/>
                <w:kern w:val="0"/>
                <w:sz w:val="20"/>
                <w:szCs w:val="20"/>
              </w:rPr>
            </w:pPr>
            <w:r>
              <w:rPr>
                <w:rFonts w:hint="eastAsia" w:ascii="宋体" w:hAnsi="宋体" w:cs=".PingFang SC"/>
                <w:color w:val="353535"/>
                <w:kern w:val="0"/>
                <w:sz w:val="20"/>
                <w:szCs w:val="20"/>
              </w:rPr>
              <w:t>★支持主流的Linux、Windows等类型操作系统，支持CentOS、中标麒麟、RedHat等操作系统</w:t>
            </w:r>
          </w:p>
        </w:tc>
      </w:tr>
      <w:tr w14:paraId="07344C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jc w:val="center"/>
        </w:trPr>
        <w:tc>
          <w:tcPr>
            <w:tcW w:w="1105" w:type="pct"/>
            <w:vMerge w:val="restart"/>
            <w:vAlign w:val="center"/>
          </w:tcPr>
          <w:p w14:paraId="3F969044">
            <w:pPr>
              <w:widowControl/>
              <w:jc w:val="center"/>
              <w:rPr>
                <w:rFonts w:ascii="宋体" w:hAnsi="宋体"/>
                <w:bCs/>
                <w:kern w:val="0"/>
                <w:sz w:val="20"/>
                <w:szCs w:val="20"/>
              </w:rPr>
            </w:pPr>
            <w:r>
              <w:rPr>
                <w:rFonts w:hint="eastAsia" w:ascii="宋体" w:hAnsi="宋体"/>
                <w:bCs/>
                <w:kern w:val="0"/>
                <w:sz w:val="20"/>
                <w:szCs w:val="20"/>
              </w:rPr>
              <w:t>资质要求</w:t>
            </w:r>
          </w:p>
        </w:tc>
        <w:tc>
          <w:tcPr>
            <w:tcW w:w="3894" w:type="pct"/>
            <w:vAlign w:val="center"/>
          </w:tcPr>
          <w:p w14:paraId="44716445">
            <w:pPr>
              <w:widowControl/>
              <w:jc w:val="left"/>
              <w:rPr>
                <w:rFonts w:ascii="宋体" w:hAnsi="宋体" w:cs=".PingFang SC"/>
                <w:color w:val="353535"/>
                <w:kern w:val="0"/>
                <w:sz w:val="20"/>
                <w:szCs w:val="20"/>
              </w:rPr>
            </w:pPr>
            <w:r>
              <w:rPr>
                <w:rFonts w:hint="eastAsia" w:ascii="宋体" w:hAnsi="宋体" w:cs=".PingFang SC"/>
                <w:color w:val="353535"/>
                <w:kern w:val="0"/>
                <w:sz w:val="20"/>
                <w:szCs w:val="20"/>
              </w:rPr>
              <w:t>支持国产SM2、SM3、SM4算法，具备商用密码产品认证证书，符合GM/T 0028-2014《密码模块安全技术要求》安全等级二级要求</w:t>
            </w:r>
          </w:p>
        </w:tc>
      </w:tr>
      <w:tr w14:paraId="2DD76D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1105" w:type="pct"/>
            <w:vMerge w:val="continue"/>
            <w:vAlign w:val="center"/>
          </w:tcPr>
          <w:p w14:paraId="3EC3E73A">
            <w:pPr>
              <w:widowControl/>
              <w:jc w:val="center"/>
              <w:rPr>
                <w:rFonts w:ascii="宋体" w:hAnsi="宋体"/>
                <w:bCs/>
                <w:kern w:val="0"/>
                <w:sz w:val="20"/>
                <w:szCs w:val="20"/>
              </w:rPr>
            </w:pPr>
          </w:p>
        </w:tc>
        <w:tc>
          <w:tcPr>
            <w:tcW w:w="3894" w:type="pct"/>
            <w:vAlign w:val="center"/>
          </w:tcPr>
          <w:p w14:paraId="4E399A16">
            <w:pPr>
              <w:widowControl/>
              <w:jc w:val="left"/>
              <w:rPr>
                <w:rFonts w:ascii="宋体" w:hAnsi="宋体" w:cs=".PingFang SC"/>
                <w:color w:val="353535"/>
                <w:kern w:val="0"/>
                <w:sz w:val="20"/>
                <w:szCs w:val="20"/>
              </w:rPr>
            </w:pPr>
            <w:r>
              <w:rPr>
                <w:rFonts w:hint="eastAsia" w:ascii="宋体" w:hAnsi="宋体" w:cs=".PingFang SC"/>
                <w:color w:val="353535"/>
                <w:kern w:val="0"/>
                <w:sz w:val="20"/>
                <w:szCs w:val="20"/>
              </w:rPr>
              <w:t>具备国家版权局认可的《计算机软件著作权登记证书》</w:t>
            </w:r>
          </w:p>
        </w:tc>
      </w:tr>
    </w:tbl>
    <w:p w14:paraId="05B0035C">
      <w:pPr>
        <w:pStyle w:val="4"/>
      </w:pPr>
    </w:p>
    <w:p w14:paraId="29D6F388">
      <w:pPr>
        <w:outlineLvl w:val="1"/>
        <w:rPr>
          <w:b/>
          <w:bCs/>
          <w:sz w:val="28"/>
          <w:szCs w:val="28"/>
        </w:rPr>
      </w:pPr>
    </w:p>
    <w:p w14:paraId="404CD7BF">
      <w:pPr>
        <w:outlineLvl w:val="1"/>
        <w:rPr>
          <w:b/>
          <w:bCs/>
          <w:sz w:val="28"/>
          <w:szCs w:val="28"/>
        </w:rPr>
      </w:pPr>
      <w:r>
        <w:rPr>
          <w:rFonts w:hint="eastAsia"/>
          <w:b/>
          <w:bCs/>
          <w:sz w:val="28"/>
          <w:szCs w:val="28"/>
        </w:rPr>
        <w:t>三、投标文件组成</w:t>
      </w:r>
    </w:p>
    <w:p w14:paraId="4DE7A6ED">
      <w:pPr>
        <w:spacing w:line="360" w:lineRule="auto"/>
        <w:ind w:firstLine="480" w:firstLineChars="200"/>
        <w:rPr>
          <w:rStyle w:val="21"/>
          <w:rFonts w:asciiTheme="majorEastAsia" w:hAnsiTheme="majorEastAsia" w:eastAsiaTheme="majorEastAsia" w:cstheme="majorEastAsia"/>
          <w:b w:val="0"/>
          <w:bCs w:val="0"/>
          <w:color w:val="333333"/>
          <w:sz w:val="24"/>
          <w:shd w:val="clear" w:color="auto" w:fill="FFFFFF"/>
        </w:rPr>
      </w:pPr>
      <w:r>
        <w:rPr>
          <w:rStyle w:val="21"/>
          <w:rFonts w:hint="eastAsia" w:asciiTheme="majorEastAsia" w:hAnsiTheme="majorEastAsia" w:eastAsiaTheme="majorEastAsia" w:cstheme="majorEastAsia"/>
          <w:b w:val="0"/>
          <w:bCs w:val="0"/>
          <w:color w:val="333333"/>
          <w:sz w:val="24"/>
          <w:shd w:val="clear" w:color="auto" w:fill="FFFFFF"/>
        </w:rPr>
        <w:t>（1）技术标</w:t>
      </w:r>
    </w:p>
    <w:tbl>
      <w:tblPr>
        <w:tblStyle w:val="18"/>
        <w:tblW w:w="98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8"/>
        <w:gridCol w:w="7193"/>
        <w:gridCol w:w="1717"/>
      </w:tblGrid>
      <w:tr w14:paraId="6EBC04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18" w:type="dxa"/>
            <w:vAlign w:val="center"/>
          </w:tcPr>
          <w:p w14:paraId="7369E082">
            <w:pPr>
              <w:adjustRightInd w:val="0"/>
              <w:snapToGrid w:val="0"/>
              <w:spacing w:line="360" w:lineRule="auto"/>
              <w:jc w:val="center"/>
              <w:rPr>
                <w:rFonts w:asciiTheme="majorEastAsia" w:hAnsiTheme="majorEastAsia" w:eastAsiaTheme="majorEastAsia" w:cstheme="majorEastAsia"/>
                <w:bCs/>
                <w:sz w:val="24"/>
              </w:rPr>
            </w:pPr>
            <w:r>
              <w:rPr>
                <w:rFonts w:hint="eastAsia" w:asciiTheme="majorEastAsia" w:hAnsiTheme="majorEastAsia" w:eastAsiaTheme="majorEastAsia" w:cstheme="majorEastAsia"/>
                <w:bCs/>
                <w:sz w:val="24"/>
              </w:rPr>
              <w:t>序号</w:t>
            </w:r>
          </w:p>
        </w:tc>
        <w:tc>
          <w:tcPr>
            <w:tcW w:w="7193" w:type="dxa"/>
            <w:vAlign w:val="center"/>
          </w:tcPr>
          <w:p w14:paraId="00EC29B5">
            <w:pPr>
              <w:adjustRightInd w:val="0"/>
              <w:snapToGrid w:val="0"/>
              <w:spacing w:line="360" w:lineRule="auto"/>
              <w:jc w:val="center"/>
              <w:rPr>
                <w:rFonts w:asciiTheme="majorEastAsia" w:hAnsiTheme="majorEastAsia" w:eastAsiaTheme="majorEastAsia" w:cstheme="majorEastAsia"/>
                <w:bCs/>
                <w:sz w:val="24"/>
              </w:rPr>
            </w:pPr>
            <w:r>
              <w:rPr>
                <w:rFonts w:hint="eastAsia" w:asciiTheme="majorEastAsia" w:hAnsiTheme="majorEastAsia" w:eastAsiaTheme="majorEastAsia" w:cstheme="majorEastAsia"/>
                <w:bCs/>
                <w:sz w:val="24"/>
              </w:rPr>
              <w:t>内容</w:t>
            </w:r>
          </w:p>
        </w:tc>
        <w:tc>
          <w:tcPr>
            <w:tcW w:w="1717" w:type="dxa"/>
            <w:vAlign w:val="center"/>
          </w:tcPr>
          <w:p w14:paraId="29584A9A">
            <w:pPr>
              <w:adjustRightInd w:val="0"/>
              <w:snapToGrid w:val="0"/>
              <w:spacing w:line="360" w:lineRule="auto"/>
              <w:jc w:val="center"/>
              <w:rPr>
                <w:rFonts w:asciiTheme="majorEastAsia" w:hAnsiTheme="majorEastAsia" w:eastAsiaTheme="majorEastAsia" w:cstheme="majorEastAsia"/>
                <w:bCs/>
                <w:sz w:val="24"/>
              </w:rPr>
            </w:pPr>
            <w:r>
              <w:rPr>
                <w:rFonts w:hint="eastAsia" w:asciiTheme="majorEastAsia" w:hAnsiTheme="majorEastAsia" w:eastAsiaTheme="majorEastAsia" w:cstheme="majorEastAsia"/>
                <w:bCs/>
                <w:sz w:val="24"/>
              </w:rPr>
              <w:t>备注</w:t>
            </w:r>
          </w:p>
        </w:tc>
      </w:tr>
      <w:tr w14:paraId="601D9D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vAlign w:val="center"/>
          </w:tcPr>
          <w:p w14:paraId="2351177B">
            <w:pPr>
              <w:adjustRightInd w:val="0"/>
              <w:snapToGrid w:val="0"/>
              <w:spacing w:line="360" w:lineRule="auto"/>
              <w:jc w:val="center"/>
              <w:rPr>
                <w:rFonts w:asciiTheme="majorEastAsia" w:hAnsiTheme="majorEastAsia" w:eastAsiaTheme="majorEastAsia" w:cstheme="majorEastAsia"/>
                <w:b/>
                <w:sz w:val="24"/>
              </w:rPr>
            </w:pPr>
            <w:r>
              <w:rPr>
                <w:rFonts w:hint="eastAsia" w:asciiTheme="majorEastAsia" w:hAnsiTheme="majorEastAsia" w:eastAsiaTheme="majorEastAsia" w:cstheme="majorEastAsia"/>
                <w:b/>
                <w:sz w:val="24"/>
              </w:rPr>
              <w:t>1</w:t>
            </w:r>
          </w:p>
        </w:tc>
        <w:tc>
          <w:tcPr>
            <w:tcW w:w="7193" w:type="dxa"/>
            <w:vAlign w:val="center"/>
          </w:tcPr>
          <w:p w14:paraId="196B032D">
            <w:pPr>
              <w:adjustRightInd w:val="0"/>
              <w:snapToGrid w:val="0"/>
              <w:spacing w:line="360" w:lineRule="auto"/>
              <w:rPr>
                <w:rFonts w:asciiTheme="majorEastAsia" w:hAnsiTheme="majorEastAsia" w:eastAsiaTheme="majorEastAsia" w:cstheme="majorEastAsia"/>
                <w:b/>
                <w:sz w:val="24"/>
              </w:rPr>
            </w:pPr>
            <w:r>
              <w:rPr>
                <w:rFonts w:hint="eastAsia" w:asciiTheme="majorEastAsia" w:hAnsiTheme="majorEastAsia" w:eastAsiaTheme="majorEastAsia" w:cstheme="majorEastAsia"/>
                <w:b/>
                <w:sz w:val="24"/>
              </w:rPr>
              <w:t>投标函</w:t>
            </w:r>
          </w:p>
        </w:tc>
        <w:tc>
          <w:tcPr>
            <w:tcW w:w="1717" w:type="dxa"/>
            <w:vAlign w:val="center"/>
          </w:tcPr>
          <w:p w14:paraId="39DC40C7">
            <w:pPr>
              <w:adjustRightInd w:val="0"/>
              <w:snapToGrid w:val="0"/>
              <w:spacing w:line="360" w:lineRule="auto"/>
              <w:jc w:val="center"/>
              <w:rPr>
                <w:rFonts w:asciiTheme="majorEastAsia" w:hAnsiTheme="majorEastAsia" w:eastAsiaTheme="majorEastAsia" w:cstheme="majorEastAsia"/>
                <w:bCs/>
                <w:sz w:val="24"/>
              </w:rPr>
            </w:pPr>
            <w:r>
              <w:rPr>
                <w:rFonts w:hint="eastAsia" w:asciiTheme="majorEastAsia" w:hAnsiTheme="majorEastAsia" w:eastAsiaTheme="majorEastAsia" w:cstheme="majorEastAsia"/>
                <w:bCs/>
                <w:sz w:val="24"/>
              </w:rPr>
              <w:t>附件一</w:t>
            </w:r>
          </w:p>
        </w:tc>
      </w:tr>
      <w:tr w14:paraId="40B674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vAlign w:val="center"/>
          </w:tcPr>
          <w:p w14:paraId="4180DBFD">
            <w:pPr>
              <w:adjustRightInd w:val="0"/>
              <w:snapToGrid w:val="0"/>
              <w:spacing w:line="360" w:lineRule="auto"/>
              <w:jc w:val="center"/>
              <w:rPr>
                <w:rFonts w:asciiTheme="majorEastAsia" w:hAnsiTheme="majorEastAsia" w:eastAsiaTheme="majorEastAsia" w:cstheme="majorEastAsia"/>
                <w:b/>
                <w:sz w:val="24"/>
              </w:rPr>
            </w:pPr>
            <w:r>
              <w:rPr>
                <w:rFonts w:hint="eastAsia" w:asciiTheme="majorEastAsia" w:hAnsiTheme="majorEastAsia" w:eastAsiaTheme="majorEastAsia" w:cstheme="majorEastAsia"/>
                <w:b/>
                <w:sz w:val="24"/>
              </w:rPr>
              <w:t>2</w:t>
            </w:r>
          </w:p>
        </w:tc>
        <w:tc>
          <w:tcPr>
            <w:tcW w:w="7193" w:type="dxa"/>
            <w:vAlign w:val="center"/>
          </w:tcPr>
          <w:p w14:paraId="6AB8E434">
            <w:pPr>
              <w:adjustRightInd w:val="0"/>
              <w:snapToGrid w:val="0"/>
              <w:spacing w:line="360" w:lineRule="auto"/>
              <w:rPr>
                <w:rFonts w:asciiTheme="majorEastAsia" w:hAnsiTheme="majorEastAsia" w:eastAsiaTheme="majorEastAsia" w:cstheme="majorEastAsia"/>
                <w:b/>
                <w:sz w:val="24"/>
              </w:rPr>
            </w:pPr>
            <w:r>
              <w:rPr>
                <w:rFonts w:hint="eastAsia" w:asciiTheme="majorEastAsia" w:hAnsiTheme="majorEastAsia" w:eastAsiaTheme="majorEastAsia" w:cstheme="majorEastAsia"/>
                <w:b/>
                <w:sz w:val="24"/>
              </w:rPr>
              <w:t>资格证明文件</w:t>
            </w:r>
          </w:p>
        </w:tc>
        <w:tc>
          <w:tcPr>
            <w:tcW w:w="1717" w:type="dxa"/>
            <w:vAlign w:val="center"/>
          </w:tcPr>
          <w:p w14:paraId="3113560F">
            <w:pPr>
              <w:adjustRightInd w:val="0"/>
              <w:snapToGrid w:val="0"/>
              <w:spacing w:line="360" w:lineRule="auto"/>
              <w:jc w:val="center"/>
              <w:rPr>
                <w:rFonts w:asciiTheme="majorEastAsia" w:hAnsiTheme="majorEastAsia" w:eastAsiaTheme="majorEastAsia" w:cstheme="majorEastAsia"/>
                <w:bCs/>
                <w:sz w:val="24"/>
              </w:rPr>
            </w:pPr>
          </w:p>
        </w:tc>
      </w:tr>
      <w:tr w14:paraId="2B539B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vAlign w:val="center"/>
          </w:tcPr>
          <w:p w14:paraId="66D83AAE">
            <w:pPr>
              <w:adjustRightInd w:val="0"/>
              <w:snapToGrid w:val="0"/>
              <w:spacing w:line="360" w:lineRule="auto"/>
              <w:jc w:val="center"/>
              <w:rPr>
                <w:rFonts w:asciiTheme="majorEastAsia" w:hAnsiTheme="majorEastAsia" w:eastAsiaTheme="majorEastAsia" w:cstheme="majorEastAsia"/>
                <w:bCs/>
                <w:sz w:val="24"/>
              </w:rPr>
            </w:pPr>
            <w:r>
              <w:rPr>
                <w:rFonts w:hint="eastAsia" w:asciiTheme="majorEastAsia" w:hAnsiTheme="majorEastAsia" w:eastAsiaTheme="majorEastAsia" w:cstheme="majorEastAsia"/>
                <w:bCs/>
                <w:sz w:val="24"/>
              </w:rPr>
              <w:t>2.1</w:t>
            </w:r>
          </w:p>
        </w:tc>
        <w:tc>
          <w:tcPr>
            <w:tcW w:w="7193" w:type="dxa"/>
            <w:vAlign w:val="center"/>
          </w:tcPr>
          <w:p w14:paraId="61F5A517">
            <w:pPr>
              <w:adjustRightInd w:val="0"/>
              <w:snapToGrid w:val="0"/>
              <w:spacing w:line="360" w:lineRule="auto"/>
              <w:rPr>
                <w:rFonts w:asciiTheme="majorEastAsia" w:hAnsiTheme="majorEastAsia" w:eastAsiaTheme="majorEastAsia" w:cstheme="majorEastAsia"/>
                <w:bCs/>
                <w:sz w:val="24"/>
                <w:lang w:val="zh-CN"/>
              </w:rPr>
            </w:pPr>
            <w:r>
              <w:rPr>
                <w:rFonts w:hint="eastAsia" w:asciiTheme="majorEastAsia" w:hAnsiTheme="majorEastAsia" w:eastAsiaTheme="majorEastAsia" w:cstheme="majorEastAsia"/>
                <w:bCs/>
                <w:sz w:val="24"/>
              </w:rPr>
              <w:t>法定代表人授权书</w:t>
            </w:r>
          </w:p>
        </w:tc>
        <w:tc>
          <w:tcPr>
            <w:tcW w:w="1717" w:type="dxa"/>
            <w:vAlign w:val="center"/>
          </w:tcPr>
          <w:p w14:paraId="0D29D737">
            <w:pPr>
              <w:adjustRightInd w:val="0"/>
              <w:snapToGrid w:val="0"/>
              <w:spacing w:line="360" w:lineRule="auto"/>
              <w:jc w:val="center"/>
              <w:rPr>
                <w:rFonts w:asciiTheme="majorEastAsia" w:hAnsiTheme="majorEastAsia" w:eastAsiaTheme="majorEastAsia" w:cstheme="majorEastAsia"/>
                <w:bCs/>
                <w:sz w:val="24"/>
              </w:rPr>
            </w:pPr>
            <w:r>
              <w:rPr>
                <w:rFonts w:hint="eastAsia" w:asciiTheme="majorEastAsia" w:hAnsiTheme="majorEastAsia" w:eastAsiaTheme="majorEastAsia" w:cstheme="majorEastAsia"/>
                <w:bCs/>
                <w:sz w:val="24"/>
              </w:rPr>
              <w:t>附件二</w:t>
            </w:r>
          </w:p>
        </w:tc>
      </w:tr>
      <w:tr w14:paraId="4E16D7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vAlign w:val="center"/>
          </w:tcPr>
          <w:p w14:paraId="4DDCD601">
            <w:pPr>
              <w:adjustRightInd w:val="0"/>
              <w:snapToGrid w:val="0"/>
              <w:spacing w:line="360" w:lineRule="auto"/>
              <w:jc w:val="center"/>
              <w:rPr>
                <w:rFonts w:asciiTheme="majorEastAsia" w:hAnsiTheme="majorEastAsia" w:eastAsiaTheme="majorEastAsia" w:cstheme="majorEastAsia"/>
                <w:bCs/>
                <w:sz w:val="24"/>
              </w:rPr>
            </w:pPr>
            <w:r>
              <w:rPr>
                <w:rFonts w:hint="eastAsia" w:asciiTheme="majorEastAsia" w:hAnsiTheme="majorEastAsia" w:eastAsiaTheme="majorEastAsia" w:cstheme="majorEastAsia"/>
                <w:bCs/>
                <w:sz w:val="24"/>
              </w:rPr>
              <w:t>2.2</w:t>
            </w:r>
          </w:p>
        </w:tc>
        <w:tc>
          <w:tcPr>
            <w:tcW w:w="7193" w:type="dxa"/>
            <w:vAlign w:val="center"/>
          </w:tcPr>
          <w:p w14:paraId="5A72ED8B">
            <w:pPr>
              <w:adjustRightInd w:val="0"/>
              <w:snapToGrid w:val="0"/>
              <w:spacing w:line="360" w:lineRule="auto"/>
              <w:rPr>
                <w:rFonts w:asciiTheme="majorEastAsia" w:hAnsiTheme="majorEastAsia" w:eastAsiaTheme="majorEastAsia" w:cstheme="majorEastAsia"/>
                <w:bCs/>
                <w:sz w:val="24"/>
              </w:rPr>
            </w:pPr>
            <w:r>
              <w:rPr>
                <w:rFonts w:hint="eastAsia" w:asciiTheme="majorEastAsia" w:hAnsiTheme="majorEastAsia" w:eastAsiaTheme="majorEastAsia" w:cstheme="majorEastAsia"/>
                <w:bCs/>
                <w:sz w:val="24"/>
              </w:rPr>
              <w:t>有效营业执照</w:t>
            </w:r>
          </w:p>
        </w:tc>
        <w:tc>
          <w:tcPr>
            <w:tcW w:w="1717" w:type="dxa"/>
            <w:vAlign w:val="center"/>
          </w:tcPr>
          <w:p w14:paraId="441BAF83">
            <w:pPr>
              <w:adjustRightInd w:val="0"/>
              <w:snapToGrid w:val="0"/>
              <w:spacing w:line="360" w:lineRule="auto"/>
              <w:jc w:val="center"/>
              <w:rPr>
                <w:rFonts w:asciiTheme="majorEastAsia" w:hAnsiTheme="majorEastAsia" w:eastAsiaTheme="majorEastAsia" w:cstheme="majorEastAsia"/>
                <w:bCs/>
                <w:sz w:val="24"/>
              </w:rPr>
            </w:pPr>
          </w:p>
        </w:tc>
      </w:tr>
      <w:tr w14:paraId="40B1A1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vAlign w:val="center"/>
          </w:tcPr>
          <w:p w14:paraId="1B7740F8">
            <w:pPr>
              <w:adjustRightInd w:val="0"/>
              <w:snapToGrid w:val="0"/>
              <w:spacing w:line="360" w:lineRule="auto"/>
              <w:jc w:val="center"/>
              <w:rPr>
                <w:rFonts w:asciiTheme="majorEastAsia" w:hAnsiTheme="majorEastAsia" w:eastAsiaTheme="majorEastAsia" w:cstheme="majorEastAsia"/>
                <w:bCs/>
                <w:sz w:val="24"/>
              </w:rPr>
            </w:pPr>
            <w:r>
              <w:rPr>
                <w:rFonts w:hint="eastAsia" w:asciiTheme="majorEastAsia" w:hAnsiTheme="majorEastAsia" w:eastAsiaTheme="majorEastAsia" w:cstheme="majorEastAsia"/>
                <w:bCs/>
                <w:sz w:val="24"/>
              </w:rPr>
              <w:t>2.3</w:t>
            </w:r>
          </w:p>
        </w:tc>
        <w:tc>
          <w:tcPr>
            <w:tcW w:w="7193" w:type="dxa"/>
            <w:vAlign w:val="center"/>
          </w:tcPr>
          <w:p w14:paraId="7C9E1BFA">
            <w:pPr>
              <w:adjustRightInd w:val="0"/>
              <w:snapToGrid w:val="0"/>
              <w:spacing w:line="360" w:lineRule="auto"/>
              <w:rPr>
                <w:rFonts w:asciiTheme="majorEastAsia" w:hAnsiTheme="majorEastAsia" w:eastAsiaTheme="majorEastAsia" w:cstheme="majorEastAsia"/>
                <w:bCs/>
                <w:sz w:val="24"/>
              </w:rPr>
            </w:pPr>
            <w:r>
              <w:rPr>
                <w:rFonts w:hint="eastAsia" w:asciiTheme="majorEastAsia" w:hAnsiTheme="majorEastAsia" w:eastAsiaTheme="majorEastAsia" w:cstheme="majorEastAsia"/>
                <w:bCs/>
                <w:sz w:val="24"/>
              </w:rPr>
              <w:t>相关资质的证明材料（如</w:t>
            </w:r>
            <w:r>
              <w:rPr>
                <w:rFonts w:ascii="Segoe UI" w:hAnsi="Segoe UI" w:eastAsia="Segoe UI" w:cs="Segoe UI"/>
                <w:sz w:val="24"/>
              </w:rPr>
              <w:t>经营许可证</w:t>
            </w:r>
            <w:r>
              <w:rPr>
                <w:rFonts w:hint="eastAsia" w:ascii="Segoe UI" w:hAnsi="Segoe UI" w:cs="Segoe UI"/>
                <w:sz w:val="24"/>
              </w:rPr>
              <w:t>等</w:t>
            </w:r>
            <w:r>
              <w:rPr>
                <w:rFonts w:hint="eastAsia" w:asciiTheme="majorEastAsia" w:hAnsiTheme="majorEastAsia" w:eastAsiaTheme="majorEastAsia" w:cstheme="majorEastAsia"/>
                <w:bCs/>
                <w:sz w:val="24"/>
              </w:rPr>
              <w:t>）</w:t>
            </w:r>
          </w:p>
        </w:tc>
        <w:tc>
          <w:tcPr>
            <w:tcW w:w="1717" w:type="dxa"/>
            <w:vAlign w:val="center"/>
          </w:tcPr>
          <w:p w14:paraId="3A8AED98">
            <w:pPr>
              <w:adjustRightInd w:val="0"/>
              <w:snapToGrid w:val="0"/>
              <w:spacing w:line="360" w:lineRule="auto"/>
              <w:jc w:val="center"/>
              <w:rPr>
                <w:rFonts w:asciiTheme="majorEastAsia" w:hAnsiTheme="majorEastAsia" w:eastAsiaTheme="majorEastAsia" w:cstheme="majorEastAsia"/>
                <w:bCs/>
                <w:sz w:val="24"/>
              </w:rPr>
            </w:pPr>
          </w:p>
        </w:tc>
      </w:tr>
      <w:tr w14:paraId="79605A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vAlign w:val="center"/>
          </w:tcPr>
          <w:p w14:paraId="76B80983">
            <w:pPr>
              <w:adjustRightInd w:val="0"/>
              <w:snapToGrid w:val="0"/>
              <w:spacing w:line="360" w:lineRule="auto"/>
              <w:jc w:val="center"/>
              <w:rPr>
                <w:rFonts w:asciiTheme="majorEastAsia" w:hAnsiTheme="majorEastAsia" w:eastAsiaTheme="majorEastAsia" w:cstheme="majorEastAsia"/>
                <w:bCs/>
                <w:sz w:val="24"/>
              </w:rPr>
            </w:pPr>
            <w:r>
              <w:rPr>
                <w:rFonts w:hint="eastAsia" w:asciiTheme="majorEastAsia" w:hAnsiTheme="majorEastAsia" w:eastAsiaTheme="majorEastAsia" w:cstheme="majorEastAsia"/>
                <w:bCs/>
                <w:sz w:val="24"/>
              </w:rPr>
              <w:t>2.4</w:t>
            </w:r>
          </w:p>
        </w:tc>
        <w:tc>
          <w:tcPr>
            <w:tcW w:w="7193" w:type="dxa"/>
            <w:vAlign w:val="center"/>
          </w:tcPr>
          <w:p w14:paraId="57C37D34">
            <w:pPr>
              <w:adjustRightInd w:val="0"/>
              <w:snapToGrid w:val="0"/>
              <w:spacing w:line="360" w:lineRule="auto"/>
              <w:rPr>
                <w:rFonts w:asciiTheme="majorEastAsia" w:hAnsiTheme="majorEastAsia" w:eastAsiaTheme="majorEastAsia" w:cstheme="majorEastAsia"/>
                <w:bCs/>
                <w:sz w:val="24"/>
              </w:rPr>
            </w:pPr>
            <w:r>
              <w:rPr>
                <w:rFonts w:hint="eastAsia" w:asciiTheme="majorEastAsia" w:hAnsiTheme="majorEastAsia" w:eastAsiaTheme="majorEastAsia" w:cstheme="majorEastAsia"/>
                <w:bCs/>
                <w:sz w:val="24"/>
              </w:rPr>
              <w:t>投标人参加本项目比选前三年内未被列入“信用中国”网站(www.creditchina.gov.cn)失信被执行人、重大税收违法案件当事人（查询时间以发布招标公告之后查询结果为准，并将查询结果“截图”加盖公章附在投标文件中）</w:t>
            </w:r>
          </w:p>
        </w:tc>
        <w:tc>
          <w:tcPr>
            <w:tcW w:w="1717" w:type="dxa"/>
            <w:vAlign w:val="center"/>
          </w:tcPr>
          <w:p w14:paraId="2D56E1A0">
            <w:pPr>
              <w:adjustRightInd w:val="0"/>
              <w:snapToGrid w:val="0"/>
              <w:spacing w:line="360" w:lineRule="auto"/>
              <w:jc w:val="center"/>
              <w:rPr>
                <w:rFonts w:asciiTheme="majorEastAsia" w:hAnsiTheme="majorEastAsia" w:eastAsiaTheme="majorEastAsia" w:cstheme="majorEastAsia"/>
                <w:bCs/>
                <w:sz w:val="24"/>
              </w:rPr>
            </w:pPr>
          </w:p>
        </w:tc>
      </w:tr>
      <w:tr w14:paraId="049701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vAlign w:val="center"/>
          </w:tcPr>
          <w:p w14:paraId="6684086A">
            <w:pPr>
              <w:adjustRightInd w:val="0"/>
              <w:snapToGrid w:val="0"/>
              <w:spacing w:line="360" w:lineRule="auto"/>
              <w:jc w:val="center"/>
              <w:rPr>
                <w:rFonts w:asciiTheme="majorEastAsia" w:hAnsiTheme="majorEastAsia" w:eastAsiaTheme="majorEastAsia" w:cstheme="majorEastAsia"/>
                <w:bCs/>
                <w:sz w:val="24"/>
              </w:rPr>
            </w:pPr>
            <w:r>
              <w:rPr>
                <w:rFonts w:hint="eastAsia" w:asciiTheme="majorEastAsia" w:hAnsiTheme="majorEastAsia" w:eastAsiaTheme="majorEastAsia" w:cstheme="majorEastAsia"/>
                <w:bCs/>
                <w:sz w:val="24"/>
              </w:rPr>
              <w:t>3</w:t>
            </w:r>
          </w:p>
        </w:tc>
        <w:tc>
          <w:tcPr>
            <w:tcW w:w="7193" w:type="dxa"/>
            <w:vAlign w:val="center"/>
          </w:tcPr>
          <w:p w14:paraId="67F6BCB4">
            <w:pPr>
              <w:adjustRightInd w:val="0"/>
              <w:snapToGrid w:val="0"/>
              <w:spacing w:line="360" w:lineRule="auto"/>
              <w:rPr>
                <w:rFonts w:asciiTheme="majorEastAsia" w:hAnsiTheme="majorEastAsia" w:eastAsiaTheme="majorEastAsia" w:cstheme="majorEastAsia"/>
                <w:bCs/>
                <w:sz w:val="24"/>
              </w:rPr>
            </w:pPr>
            <w:r>
              <w:rPr>
                <w:rFonts w:hint="eastAsia" w:asciiTheme="majorEastAsia" w:hAnsiTheme="majorEastAsia" w:eastAsiaTheme="majorEastAsia" w:cstheme="majorEastAsia"/>
                <w:bCs/>
                <w:sz w:val="24"/>
              </w:rPr>
              <w:t>采购要求响应表</w:t>
            </w:r>
          </w:p>
        </w:tc>
        <w:tc>
          <w:tcPr>
            <w:tcW w:w="1717" w:type="dxa"/>
            <w:vAlign w:val="center"/>
          </w:tcPr>
          <w:p w14:paraId="2F491205">
            <w:pPr>
              <w:adjustRightInd w:val="0"/>
              <w:snapToGrid w:val="0"/>
              <w:spacing w:line="360" w:lineRule="auto"/>
              <w:jc w:val="center"/>
              <w:rPr>
                <w:rFonts w:asciiTheme="majorEastAsia" w:hAnsiTheme="majorEastAsia" w:eastAsiaTheme="majorEastAsia" w:cstheme="majorEastAsia"/>
                <w:bCs/>
                <w:sz w:val="24"/>
              </w:rPr>
            </w:pPr>
            <w:r>
              <w:rPr>
                <w:rFonts w:hint="eastAsia" w:asciiTheme="majorEastAsia" w:hAnsiTheme="majorEastAsia" w:eastAsiaTheme="majorEastAsia" w:cstheme="majorEastAsia"/>
                <w:bCs/>
                <w:sz w:val="24"/>
              </w:rPr>
              <w:t>附件三</w:t>
            </w:r>
          </w:p>
        </w:tc>
      </w:tr>
      <w:tr w14:paraId="77FBDA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vAlign w:val="center"/>
          </w:tcPr>
          <w:p w14:paraId="34F28795">
            <w:pPr>
              <w:adjustRightInd w:val="0"/>
              <w:snapToGrid w:val="0"/>
              <w:spacing w:line="360" w:lineRule="auto"/>
              <w:jc w:val="center"/>
              <w:rPr>
                <w:rFonts w:asciiTheme="majorEastAsia" w:hAnsiTheme="majorEastAsia" w:eastAsiaTheme="majorEastAsia" w:cstheme="majorEastAsia"/>
                <w:bCs/>
                <w:sz w:val="24"/>
              </w:rPr>
            </w:pPr>
            <w:r>
              <w:rPr>
                <w:rFonts w:hint="eastAsia" w:asciiTheme="majorEastAsia" w:hAnsiTheme="majorEastAsia" w:eastAsiaTheme="majorEastAsia" w:cstheme="majorEastAsia"/>
                <w:bCs/>
                <w:sz w:val="24"/>
              </w:rPr>
              <w:t>4</w:t>
            </w:r>
          </w:p>
        </w:tc>
        <w:tc>
          <w:tcPr>
            <w:tcW w:w="7193" w:type="dxa"/>
            <w:vAlign w:val="center"/>
          </w:tcPr>
          <w:p w14:paraId="19764514">
            <w:pPr>
              <w:adjustRightInd w:val="0"/>
              <w:snapToGrid w:val="0"/>
              <w:spacing w:line="360" w:lineRule="auto"/>
              <w:rPr>
                <w:rFonts w:asciiTheme="majorEastAsia" w:hAnsiTheme="majorEastAsia" w:eastAsiaTheme="majorEastAsia" w:cstheme="majorEastAsia"/>
                <w:bCs/>
                <w:sz w:val="24"/>
              </w:rPr>
            </w:pPr>
            <w:r>
              <w:rPr>
                <w:rFonts w:hint="eastAsia" w:asciiTheme="majorEastAsia" w:hAnsiTheme="majorEastAsia" w:eastAsiaTheme="majorEastAsia" w:cstheme="majorEastAsia"/>
                <w:bCs/>
                <w:sz w:val="24"/>
              </w:rPr>
              <w:t>服务方案</w:t>
            </w:r>
          </w:p>
        </w:tc>
        <w:tc>
          <w:tcPr>
            <w:tcW w:w="1717" w:type="dxa"/>
            <w:vAlign w:val="center"/>
          </w:tcPr>
          <w:p w14:paraId="0EE5D461">
            <w:pPr>
              <w:adjustRightInd w:val="0"/>
              <w:snapToGrid w:val="0"/>
              <w:spacing w:line="360" w:lineRule="auto"/>
              <w:jc w:val="center"/>
              <w:rPr>
                <w:rFonts w:asciiTheme="majorEastAsia" w:hAnsiTheme="majorEastAsia" w:eastAsiaTheme="majorEastAsia" w:cstheme="majorEastAsia"/>
                <w:bCs/>
                <w:sz w:val="24"/>
              </w:rPr>
            </w:pPr>
            <w:r>
              <w:rPr>
                <w:rFonts w:hint="eastAsia" w:asciiTheme="majorEastAsia" w:hAnsiTheme="majorEastAsia" w:eastAsiaTheme="majorEastAsia" w:cstheme="majorEastAsia"/>
                <w:bCs/>
                <w:sz w:val="24"/>
              </w:rPr>
              <w:t>附件四</w:t>
            </w:r>
          </w:p>
        </w:tc>
      </w:tr>
      <w:tr w14:paraId="39C8EF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vAlign w:val="center"/>
          </w:tcPr>
          <w:p w14:paraId="486E70F0">
            <w:pPr>
              <w:adjustRightInd w:val="0"/>
              <w:snapToGrid w:val="0"/>
              <w:spacing w:line="360" w:lineRule="auto"/>
              <w:jc w:val="center"/>
              <w:rPr>
                <w:rFonts w:asciiTheme="majorEastAsia" w:hAnsiTheme="majorEastAsia" w:eastAsiaTheme="majorEastAsia" w:cstheme="majorEastAsia"/>
                <w:bCs/>
                <w:sz w:val="24"/>
              </w:rPr>
            </w:pPr>
            <w:r>
              <w:rPr>
                <w:rFonts w:hint="eastAsia" w:asciiTheme="majorEastAsia" w:hAnsiTheme="majorEastAsia" w:eastAsiaTheme="majorEastAsia" w:cstheme="majorEastAsia"/>
                <w:bCs/>
                <w:sz w:val="24"/>
              </w:rPr>
              <w:t>5</w:t>
            </w:r>
          </w:p>
        </w:tc>
        <w:tc>
          <w:tcPr>
            <w:tcW w:w="7193" w:type="dxa"/>
            <w:vAlign w:val="center"/>
          </w:tcPr>
          <w:p w14:paraId="58B7A777">
            <w:pPr>
              <w:adjustRightInd w:val="0"/>
              <w:snapToGrid w:val="0"/>
              <w:spacing w:line="360" w:lineRule="auto"/>
              <w:rPr>
                <w:rFonts w:asciiTheme="majorEastAsia" w:hAnsiTheme="majorEastAsia" w:eastAsiaTheme="majorEastAsia" w:cstheme="majorEastAsia"/>
                <w:bCs/>
                <w:sz w:val="24"/>
              </w:rPr>
            </w:pPr>
            <w:r>
              <w:rPr>
                <w:rFonts w:hint="eastAsia" w:asciiTheme="majorEastAsia" w:hAnsiTheme="majorEastAsia" w:eastAsiaTheme="majorEastAsia" w:cstheme="majorEastAsia"/>
                <w:bCs/>
                <w:sz w:val="24"/>
              </w:rPr>
              <w:t>投标人认为需要提供的其他技术资料</w:t>
            </w:r>
          </w:p>
        </w:tc>
        <w:tc>
          <w:tcPr>
            <w:tcW w:w="1717" w:type="dxa"/>
            <w:vAlign w:val="center"/>
          </w:tcPr>
          <w:p w14:paraId="00C44DA3">
            <w:pPr>
              <w:adjustRightInd w:val="0"/>
              <w:snapToGrid w:val="0"/>
              <w:spacing w:line="360" w:lineRule="auto"/>
              <w:jc w:val="center"/>
              <w:rPr>
                <w:rFonts w:asciiTheme="majorEastAsia" w:hAnsiTheme="majorEastAsia" w:eastAsiaTheme="majorEastAsia" w:cstheme="majorEastAsia"/>
                <w:bCs/>
                <w:sz w:val="24"/>
              </w:rPr>
            </w:pPr>
          </w:p>
        </w:tc>
      </w:tr>
    </w:tbl>
    <w:p w14:paraId="34BCEBA3">
      <w:pPr>
        <w:spacing w:line="360" w:lineRule="auto"/>
        <w:rPr>
          <w:b/>
          <w:kern w:val="0"/>
          <w:sz w:val="24"/>
        </w:rPr>
      </w:pPr>
      <w:r>
        <w:rPr>
          <w:rFonts w:hint="eastAsia" w:asciiTheme="majorEastAsia" w:hAnsiTheme="majorEastAsia" w:eastAsiaTheme="majorEastAsia" w:cstheme="majorEastAsia"/>
          <w:b/>
          <w:sz w:val="24"/>
        </w:rPr>
        <w:t>说明：</w:t>
      </w:r>
      <w:r>
        <w:rPr>
          <w:rFonts w:hAnsi="宋体"/>
          <w:b/>
          <w:kern w:val="0"/>
          <w:sz w:val="24"/>
        </w:rPr>
        <w:t>发生下列情况之一的遴选响应文件被视为无效：</w:t>
      </w:r>
    </w:p>
    <w:p w14:paraId="376855B2">
      <w:pPr>
        <w:numPr>
          <w:ilvl w:val="0"/>
          <w:numId w:val="3"/>
        </w:numPr>
        <w:spacing w:line="360" w:lineRule="auto"/>
        <w:rPr>
          <w:rFonts w:hAnsi="宋体"/>
          <w:b/>
          <w:kern w:val="0"/>
          <w:sz w:val="24"/>
        </w:rPr>
      </w:pPr>
      <w:r>
        <w:rPr>
          <w:rFonts w:hint="eastAsia" w:hAnsi="宋体"/>
          <w:b/>
          <w:kern w:val="0"/>
          <w:sz w:val="24"/>
        </w:rPr>
        <w:t>文件递交</w:t>
      </w:r>
      <w:r>
        <w:rPr>
          <w:rFonts w:hAnsi="宋体"/>
          <w:b/>
          <w:kern w:val="0"/>
          <w:sz w:val="24"/>
        </w:rPr>
        <w:t>截止时间以后送达的</w:t>
      </w:r>
      <w:r>
        <w:rPr>
          <w:rFonts w:hint="eastAsia" w:hAnsi="宋体"/>
          <w:b/>
          <w:kern w:val="0"/>
          <w:sz w:val="24"/>
        </w:rPr>
        <w:t>比</w:t>
      </w:r>
      <w:r>
        <w:rPr>
          <w:rFonts w:hAnsi="宋体"/>
          <w:b/>
          <w:kern w:val="0"/>
          <w:sz w:val="24"/>
        </w:rPr>
        <w:t>选响应文件；</w:t>
      </w:r>
    </w:p>
    <w:p w14:paraId="6018EB58">
      <w:pPr>
        <w:numPr>
          <w:ilvl w:val="0"/>
          <w:numId w:val="3"/>
        </w:numPr>
        <w:spacing w:line="360" w:lineRule="auto"/>
        <w:rPr>
          <w:rFonts w:hAnsi="宋体"/>
          <w:b/>
          <w:kern w:val="0"/>
          <w:sz w:val="24"/>
        </w:rPr>
      </w:pPr>
      <w:r>
        <w:rPr>
          <w:rFonts w:hint="eastAsia" w:hAnsi="宋体"/>
          <w:b/>
          <w:kern w:val="0"/>
          <w:sz w:val="24"/>
        </w:rPr>
        <w:t>以电讯形式投标的比</w:t>
      </w:r>
      <w:r>
        <w:rPr>
          <w:rFonts w:hAnsi="宋体"/>
          <w:b/>
          <w:kern w:val="0"/>
          <w:sz w:val="24"/>
        </w:rPr>
        <w:t>选</w:t>
      </w:r>
      <w:r>
        <w:rPr>
          <w:rFonts w:hint="eastAsia" w:hAnsi="宋体"/>
          <w:b/>
          <w:kern w:val="0"/>
          <w:sz w:val="24"/>
        </w:rPr>
        <w:t>响应文件；</w:t>
      </w:r>
    </w:p>
    <w:p w14:paraId="47ED3050">
      <w:pPr>
        <w:numPr>
          <w:ilvl w:val="0"/>
          <w:numId w:val="3"/>
        </w:numPr>
        <w:spacing w:line="360" w:lineRule="auto"/>
        <w:rPr>
          <w:rFonts w:hAnsi="宋体"/>
          <w:b/>
          <w:kern w:val="0"/>
          <w:sz w:val="24"/>
        </w:rPr>
      </w:pPr>
      <w:r>
        <w:rPr>
          <w:rFonts w:hint="eastAsia" w:hAnsi="宋体"/>
          <w:b/>
          <w:kern w:val="0"/>
          <w:sz w:val="24"/>
        </w:rPr>
        <w:t>与比</w:t>
      </w:r>
      <w:r>
        <w:rPr>
          <w:rFonts w:hAnsi="宋体"/>
          <w:b/>
          <w:kern w:val="0"/>
          <w:sz w:val="24"/>
        </w:rPr>
        <w:t>选</w:t>
      </w:r>
      <w:r>
        <w:rPr>
          <w:rFonts w:hint="eastAsia" w:hAnsi="宋体"/>
          <w:b/>
          <w:kern w:val="0"/>
          <w:sz w:val="24"/>
        </w:rPr>
        <w:t>文件有重大偏离的比</w:t>
      </w:r>
      <w:r>
        <w:rPr>
          <w:rFonts w:hAnsi="宋体"/>
          <w:b/>
          <w:kern w:val="0"/>
          <w:sz w:val="24"/>
        </w:rPr>
        <w:t>选</w:t>
      </w:r>
      <w:r>
        <w:rPr>
          <w:rFonts w:hint="eastAsia" w:hAnsi="宋体"/>
          <w:b/>
          <w:kern w:val="0"/>
          <w:sz w:val="24"/>
        </w:rPr>
        <w:t>响应文件；</w:t>
      </w:r>
    </w:p>
    <w:p w14:paraId="3D386E27">
      <w:pPr>
        <w:numPr>
          <w:ilvl w:val="0"/>
          <w:numId w:val="3"/>
        </w:numPr>
        <w:spacing w:line="360" w:lineRule="auto"/>
        <w:rPr>
          <w:rFonts w:hAnsi="宋体"/>
          <w:b/>
          <w:kern w:val="0"/>
          <w:sz w:val="24"/>
        </w:rPr>
      </w:pPr>
      <w:r>
        <w:rPr>
          <w:rFonts w:hint="eastAsia" w:hAnsi="宋体"/>
          <w:b/>
          <w:kern w:val="0"/>
          <w:sz w:val="24"/>
        </w:rPr>
        <w:t>存在“▲”条款的负偏离或不满足要求；</w:t>
      </w:r>
    </w:p>
    <w:p w14:paraId="11E89B86">
      <w:pPr>
        <w:numPr>
          <w:ilvl w:val="0"/>
          <w:numId w:val="3"/>
        </w:numPr>
        <w:spacing w:line="360" w:lineRule="auto"/>
        <w:rPr>
          <w:rFonts w:hAnsi="宋体"/>
          <w:b/>
          <w:kern w:val="0"/>
          <w:sz w:val="24"/>
        </w:rPr>
      </w:pPr>
      <w:r>
        <w:rPr>
          <w:rFonts w:hint="eastAsia" w:hAnsi="宋体"/>
          <w:b/>
          <w:kern w:val="0"/>
          <w:sz w:val="24"/>
        </w:rPr>
        <w:t>资格证明文件不全，致使无法确认供应商的资格的；</w:t>
      </w:r>
    </w:p>
    <w:p w14:paraId="38DF0683">
      <w:pPr>
        <w:numPr>
          <w:ilvl w:val="0"/>
          <w:numId w:val="3"/>
        </w:numPr>
        <w:spacing w:line="360" w:lineRule="auto"/>
        <w:rPr>
          <w:rStyle w:val="21"/>
          <w:rFonts w:asciiTheme="majorEastAsia" w:hAnsiTheme="majorEastAsia" w:eastAsiaTheme="majorEastAsia" w:cstheme="majorEastAsia"/>
          <w:bCs w:val="0"/>
          <w:sz w:val="24"/>
          <w:shd w:val="clear" w:color="auto" w:fill="FFFFFF"/>
        </w:rPr>
      </w:pPr>
      <w:r>
        <w:rPr>
          <w:rFonts w:hint="eastAsia" w:hAnsi="宋体"/>
          <w:b/>
          <w:kern w:val="0"/>
          <w:sz w:val="24"/>
        </w:rPr>
        <w:t>超出经营范围响应的；</w:t>
      </w:r>
    </w:p>
    <w:p w14:paraId="563A6DE7">
      <w:pPr>
        <w:adjustRightInd w:val="0"/>
        <w:snapToGrid w:val="0"/>
        <w:spacing w:line="360" w:lineRule="auto"/>
        <w:rPr>
          <w:rStyle w:val="21"/>
          <w:rFonts w:asciiTheme="majorEastAsia" w:hAnsiTheme="majorEastAsia" w:eastAsiaTheme="majorEastAsia" w:cstheme="majorEastAsia"/>
          <w:b w:val="0"/>
          <w:bCs w:val="0"/>
          <w:color w:val="333333"/>
          <w:sz w:val="24"/>
          <w:shd w:val="clear" w:color="auto" w:fill="FFFFFF"/>
        </w:rPr>
      </w:pPr>
    </w:p>
    <w:p w14:paraId="0D474606">
      <w:pPr>
        <w:adjustRightInd w:val="0"/>
        <w:snapToGrid w:val="0"/>
        <w:spacing w:line="360" w:lineRule="auto"/>
        <w:rPr>
          <w:rStyle w:val="21"/>
          <w:rFonts w:asciiTheme="majorEastAsia" w:hAnsiTheme="majorEastAsia" w:eastAsiaTheme="majorEastAsia" w:cstheme="majorEastAsia"/>
          <w:b w:val="0"/>
          <w:bCs w:val="0"/>
          <w:color w:val="333333"/>
          <w:sz w:val="24"/>
          <w:shd w:val="clear" w:color="auto" w:fill="FFFFFF"/>
        </w:rPr>
      </w:pPr>
      <w:r>
        <w:rPr>
          <w:rStyle w:val="21"/>
          <w:rFonts w:hint="eastAsia" w:asciiTheme="majorEastAsia" w:hAnsiTheme="majorEastAsia" w:eastAsiaTheme="majorEastAsia" w:cstheme="majorEastAsia"/>
          <w:b w:val="0"/>
          <w:bCs w:val="0"/>
          <w:color w:val="333333"/>
          <w:sz w:val="24"/>
          <w:shd w:val="clear" w:color="auto" w:fill="FFFFFF"/>
        </w:rPr>
        <w:t>（2）商务标</w:t>
      </w:r>
    </w:p>
    <w:tbl>
      <w:tblPr>
        <w:tblStyle w:val="18"/>
        <w:tblW w:w="98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1"/>
        <w:gridCol w:w="7194"/>
        <w:gridCol w:w="1729"/>
      </w:tblGrid>
      <w:tr w14:paraId="69D044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31" w:type="dxa"/>
            <w:vAlign w:val="center"/>
          </w:tcPr>
          <w:p w14:paraId="44E08E58">
            <w:pPr>
              <w:adjustRightInd w:val="0"/>
              <w:snapToGrid w:val="0"/>
              <w:spacing w:line="360" w:lineRule="auto"/>
              <w:jc w:val="center"/>
              <w:rPr>
                <w:rFonts w:asciiTheme="majorEastAsia" w:hAnsiTheme="majorEastAsia" w:eastAsiaTheme="majorEastAsia" w:cstheme="majorEastAsia"/>
                <w:bCs/>
                <w:sz w:val="24"/>
              </w:rPr>
            </w:pPr>
            <w:r>
              <w:rPr>
                <w:rFonts w:hint="eastAsia" w:asciiTheme="majorEastAsia" w:hAnsiTheme="majorEastAsia" w:eastAsiaTheme="majorEastAsia" w:cstheme="majorEastAsia"/>
                <w:bCs/>
                <w:sz w:val="24"/>
              </w:rPr>
              <w:t>序号</w:t>
            </w:r>
          </w:p>
        </w:tc>
        <w:tc>
          <w:tcPr>
            <w:tcW w:w="7194" w:type="dxa"/>
            <w:vAlign w:val="center"/>
          </w:tcPr>
          <w:p w14:paraId="775AFBCE">
            <w:pPr>
              <w:adjustRightInd w:val="0"/>
              <w:snapToGrid w:val="0"/>
              <w:spacing w:line="360" w:lineRule="auto"/>
              <w:jc w:val="center"/>
              <w:rPr>
                <w:rFonts w:asciiTheme="majorEastAsia" w:hAnsiTheme="majorEastAsia" w:eastAsiaTheme="majorEastAsia" w:cstheme="majorEastAsia"/>
                <w:bCs/>
                <w:sz w:val="24"/>
              </w:rPr>
            </w:pPr>
            <w:r>
              <w:rPr>
                <w:rFonts w:hint="eastAsia" w:asciiTheme="majorEastAsia" w:hAnsiTheme="majorEastAsia" w:eastAsiaTheme="majorEastAsia" w:cstheme="majorEastAsia"/>
                <w:bCs/>
                <w:sz w:val="24"/>
              </w:rPr>
              <w:t>内容</w:t>
            </w:r>
          </w:p>
        </w:tc>
        <w:tc>
          <w:tcPr>
            <w:tcW w:w="1729" w:type="dxa"/>
            <w:vAlign w:val="center"/>
          </w:tcPr>
          <w:p w14:paraId="738B8664">
            <w:pPr>
              <w:adjustRightInd w:val="0"/>
              <w:snapToGrid w:val="0"/>
              <w:spacing w:line="360" w:lineRule="auto"/>
              <w:jc w:val="center"/>
              <w:rPr>
                <w:rFonts w:asciiTheme="majorEastAsia" w:hAnsiTheme="majorEastAsia" w:eastAsiaTheme="majorEastAsia" w:cstheme="majorEastAsia"/>
                <w:bCs/>
                <w:sz w:val="24"/>
              </w:rPr>
            </w:pPr>
            <w:r>
              <w:rPr>
                <w:rFonts w:hint="eastAsia" w:asciiTheme="majorEastAsia" w:hAnsiTheme="majorEastAsia" w:eastAsiaTheme="majorEastAsia" w:cstheme="majorEastAsia"/>
                <w:bCs/>
                <w:sz w:val="24"/>
              </w:rPr>
              <w:t>备注</w:t>
            </w:r>
          </w:p>
        </w:tc>
      </w:tr>
      <w:tr w14:paraId="514137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31" w:type="dxa"/>
            <w:vAlign w:val="center"/>
          </w:tcPr>
          <w:p w14:paraId="628C7CCE">
            <w:pPr>
              <w:adjustRightInd w:val="0"/>
              <w:snapToGrid w:val="0"/>
              <w:spacing w:line="360" w:lineRule="auto"/>
              <w:jc w:val="center"/>
              <w:rPr>
                <w:rFonts w:asciiTheme="majorEastAsia" w:hAnsiTheme="majorEastAsia" w:eastAsiaTheme="majorEastAsia" w:cstheme="majorEastAsia"/>
                <w:bCs/>
                <w:sz w:val="24"/>
              </w:rPr>
            </w:pPr>
            <w:r>
              <w:rPr>
                <w:rFonts w:hint="eastAsia" w:asciiTheme="majorEastAsia" w:hAnsiTheme="majorEastAsia" w:eastAsiaTheme="majorEastAsia" w:cstheme="majorEastAsia"/>
                <w:bCs/>
                <w:sz w:val="24"/>
              </w:rPr>
              <w:t>1</w:t>
            </w:r>
          </w:p>
        </w:tc>
        <w:tc>
          <w:tcPr>
            <w:tcW w:w="7194" w:type="dxa"/>
            <w:vAlign w:val="center"/>
          </w:tcPr>
          <w:p w14:paraId="4CB6B3ED">
            <w:pPr>
              <w:adjustRightInd w:val="0"/>
              <w:snapToGrid w:val="0"/>
              <w:spacing w:line="360" w:lineRule="auto"/>
              <w:rPr>
                <w:rFonts w:asciiTheme="majorEastAsia" w:hAnsiTheme="majorEastAsia" w:eastAsiaTheme="majorEastAsia" w:cstheme="majorEastAsia"/>
                <w:bCs/>
                <w:sz w:val="24"/>
              </w:rPr>
            </w:pPr>
            <w:r>
              <w:rPr>
                <w:rFonts w:hint="eastAsia" w:asciiTheme="majorEastAsia" w:hAnsiTheme="majorEastAsia" w:eastAsiaTheme="majorEastAsia" w:cstheme="majorEastAsia"/>
                <w:bCs/>
                <w:sz w:val="24"/>
              </w:rPr>
              <w:t>投标报价一览表</w:t>
            </w:r>
          </w:p>
        </w:tc>
        <w:tc>
          <w:tcPr>
            <w:tcW w:w="1729" w:type="dxa"/>
            <w:vAlign w:val="center"/>
          </w:tcPr>
          <w:p w14:paraId="2CCC7D8D">
            <w:pPr>
              <w:adjustRightInd w:val="0"/>
              <w:snapToGrid w:val="0"/>
              <w:spacing w:line="360" w:lineRule="auto"/>
              <w:jc w:val="center"/>
              <w:rPr>
                <w:rFonts w:asciiTheme="majorEastAsia" w:hAnsiTheme="majorEastAsia" w:eastAsiaTheme="majorEastAsia" w:cstheme="majorEastAsia"/>
                <w:bCs/>
                <w:sz w:val="24"/>
              </w:rPr>
            </w:pPr>
            <w:r>
              <w:rPr>
                <w:rFonts w:hint="eastAsia" w:asciiTheme="majorEastAsia" w:hAnsiTheme="majorEastAsia" w:eastAsiaTheme="majorEastAsia" w:cstheme="majorEastAsia"/>
                <w:bCs/>
                <w:sz w:val="24"/>
              </w:rPr>
              <w:t>附件五</w:t>
            </w:r>
          </w:p>
        </w:tc>
      </w:tr>
    </w:tbl>
    <w:p w14:paraId="37B833A4">
      <w:pPr>
        <w:spacing w:line="360" w:lineRule="auto"/>
        <w:ind w:firstLine="720" w:firstLineChars="300"/>
        <w:rPr>
          <w:rFonts w:ascii="宋体" w:hAnsi="宋体" w:cs="宋体"/>
          <w:sz w:val="24"/>
        </w:rPr>
      </w:pPr>
    </w:p>
    <w:p w14:paraId="7A2B795A">
      <w:pPr>
        <w:spacing w:line="360" w:lineRule="auto"/>
        <w:ind w:firstLine="720" w:firstLineChars="300"/>
        <w:rPr>
          <w:rFonts w:asciiTheme="majorEastAsia" w:hAnsiTheme="majorEastAsia" w:eastAsiaTheme="majorEastAsia" w:cstheme="majorEastAsia"/>
          <w:sz w:val="24"/>
        </w:rPr>
      </w:pPr>
      <w:r>
        <w:rPr>
          <w:rFonts w:hint="eastAsia" w:asciiTheme="majorEastAsia" w:hAnsiTheme="majorEastAsia" w:eastAsiaTheme="majorEastAsia" w:cstheme="majorEastAsia"/>
          <w:sz w:val="24"/>
        </w:rPr>
        <w:t>投标人应根据比选文件所提供的格式，内容按顺序装订成册。投标人应提供一式四份投标文件。其中正本一份、副本三份，每套投标文件的封面应清楚标明“正本”或“副本”字样，若“正本”与“副本”不符，以“正本”为准。投标人没有按照比选文件要求提交全部资料，或者没有对招标文件各个方面做出实质性响应，导致投标被否决的风险由投标人自行承担。</w:t>
      </w:r>
    </w:p>
    <w:p w14:paraId="0E6B38C8">
      <w:pPr>
        <w:pStyle w:val="5"/>
        <w:ind w:firstLine="0"/>
        <w:rPr>
          <w:rFonts w:ascii="新宋体" w:hAnsi="新宋体" w:eastAsia="新宋体" w:cs="宋体"/>
          <w:bCs/>
          <w:sz w:val="32"/>
        </w:rPr>
      </w:pPr>
    </w:p>
    <w:p w14:paraId="7B0CD2B9"/>
    <w:p w14:paraId="726A1FC5">
      <w:pPr>
        <w:pStyle w:val="4"/>
      </w:pPr>
    </w:p>
    <w:p w14:paraId="5F51C5A0"/>
    <w:p w14:paraId="5F6144B1">
      <w:pPr>
        <w:pStyle w:val="4"/>
      </w:pPr>
    </w:p>
    <w:p w14:paraId="71D8E83F"/>
    <w:p w14:paraId="6C9255A1"/>
    <w:p w14:paraId="5E6955D7"/>
    <w:p w14:paraId="42F6E722"/>
    <w:p w14:paraId="34D10C68"/>
    <w:p w14:paraId="5F029E21"/>
    <w:p w14:paraId="58B968B0">
      <w:pPr>
        <w:jc w:val="center"/>
        <w:rPr>
          <w:rFonts w:ascii="新宋体" w:hAnsi="新宋体" w:eastAsia="新宋体" w:cs="宋体"/>
          <w:b/>
          <w:bCs/>
          <w:kern w:val="0"/>
          <w:sz w:val="32"/>
          <w:szCs w:val="32"/>
        </w:rPr>
      </w:pPr>
      <w:r>
        <w:rPr>
          <w:rFonts w:hint="eastAsia" w:ascii="新宋体" w:hAnsi="新宋体" w:eastAsia="新宋体" w:cs="宋体"/>
          <w:b/>
          <w:bCs/>
          <w:kern w:val="0"/>
          <w:sz w:val="32"/>
          <w:szCs w:val="32"/>
        </w:rPr>
        <w:t>评审原则及方法</w:t>
      </w:r>
    </w:p>
    <w:p w14:paraId="0145CDDF">
      <w:pPr>
        <w:pStyle w:val="15"/>
        <w:shd w:val="clear" w:color="auto" w:fill="FFFFFF"/>
        <w:spacing w:line="360" w:lineRule="auto"/>
        <w:ind w:firstLine="556"/>
        <w:rPr>
          <w:rFonts w:asciiTheme="majorEastAsia" w:hAnsiTheme="majorEastAsia" w:eastAsiaTheme="majorEastAsia" w:cstheme="majorEastAsia"/>
          <w:b/>
          <w:bCs/>
          <w:kern w:val="2"/>
        </w:rPr>
      </w:pPr>
      <w:r>
        <w:rPr>
          <w:rFonts w:hint="eastAsia" w:asciiTheme="majorEastAsia" w:hAnsiTheme="majorEastAsia" w:eastAsiaTheme="majorEastAsia" w:cstheme="majorEastAsia"/>
          <w:b/>
        </w:rPr>
        <w:t>参考《中华人民共和国政府采购法》、《政府采购货物和服务招标投标管理办法》、《中华人民共和国政府采购法实施条例》和《关于进一步规范政府采购活动的若干意见》等相关法规特制定以下评标办法。</w:t>
      </w:r>
    </w:p>
    <w:p w14:paraId="0CC45E6B">
      <w:pPr>
        <w:spacing w:line="360" w:lineRule="auto"/>
        <w:ind w:firstLine="590" w:firstLineChars="245"/>
        <w:outlineLvl w:val="1"/>
        <w:rPr>
          <w:rFonts w:asciiTheme="majorEastAsia" w:hAnsiTheme="majorEastAsia" w:eastAsiaTheme="majorEastAsia" w:cstheme="majorEastAsia"/>
          <w:b/>
          <w:sz w:val="24"/>
        </w:rPr>
      </w:pPr>
      <w:bookmarkStart w:id="0" w:name="_Toc15153"/>
      <w:bookmarkStart w:id="1" w:name="_Toc67"/>
      <w:r>
        <w:rPr>
          <w:rFonts w:hint="eastAsia" w:asciiTheme="majorEastAsia" w:hAnsiTheme="majorEastAsia" w:eastAsiaTheme="majorEastAsia" w:cstheme="majorEastAsia"/>
          <w:b/>
          <w:sz w:val="24"/>
        </w:rPr>
        <w:t>一、评标程序</w:t>
      </w:r>
      <w:bookmarkEnd w:id="0"/>
      <w:bookmarkEnd w:id="1"/>
    </w:p>
    <w:p w14:paraId="23A7096E">
      <w:pPr>
        <w:spacing w:line="360" w:lineRule="auto"/>
        <w:ind w:firstLine="480" w:firstLineChars="200"/>
        <w:rPr>
          <w:rFonts w:asciiTheme="majorEastAsia" w:hAnsiTheme="majorEastAsia" w:eastAsiaTheme="majorEastAsia" w:cstheme="majorEastAsia"/>
          <w:sz w:val="24"/>
        </w:rPr>
      </w:pPr>
      <w:r>
        <w:rPr>
          <w:rFonts w:hint="eastAsia" w:asciiTheme="majorEastAsia" w:hAnsiTheme="majorEastAsia" w:eastAsiaTheme="majorEastAsia" w:cstheme="majorEastAsia"/>
          <w:bCs/>
          <w:sz w:val="24"/>
        </w:rPr>
        <w:t>评标委员按照比选文件中规定的评标方法和标准，对投标文件进行商务和技术评估，综合比较与评价</w:t>
      </w:r>
      <w:r>
        <w:rPr>
          <w:rFonts w:hint="eastAsia" w:asciiTheme="majorEastAsia" w:hAnsiTheme="majorEastAsia" w:eastAsiaTheme="majorEastAsia" w:cstheme="majorEastAsia"/>
          <w:sz w:val="24"/>
        </w:rPr>
        <w:t>，根据综合评审结果，提交评审报告。</w:t>
      </w:r>
    </w:p>
    <w:p w14:paraId="65A054A2">
      <w:pPr>
        <w:spacing w:line="360" w:lineRule="auto"/>
        <w:ind w:firstLine="590" w:firstLineChars="245"/>
        <w:outlineLvl w:val="1"/>
        <w:rPr>
          <w:rFonts w:asciiTheme="majorEastAsia" w:hAnsiTheme="majorEastAsia" w:eastAsiaTheme="majorEastAsia" w:cstheme="majorEastAsia"/>
          <w:b/>
          <w:sz w:val="24"/>
        </w:rPr>
      </w:pPr>
      <w:bookmarkStart w:id="2" w:name="_Toc11306"/>
      <w:bookmarkStart w:id="3" w:name="_Toc24825"/>
      <w:r>
        <w:rPr>
          <w:rFonts w:hint="eastAsia" w:asciiTheme="majorEastAsia" w:hAnsiTheme="majorEastAsia" w:eastAsiaTheme="majorEastAsia" w:cstheme="majorEastAsia"/>
          <w:b/>
          <w:sz w:val="24"/>
        </w:rPr>
        <w:t>二、评标办法</w:t>
      </w:r>
      <w:bookmarkEnd w:id="2"/>
      <w:bookmarkEnd w:id="3"/>
    </w:p>
    <w:p w14:paraId="18AFDA39">
      <w:pPr>
        <w:spacing w:line="360" w:lineRule="auto"/>
        <w:ind w:firstLine="588" w:firstLineChars="245"/>
        <w:rPr>
          <w:rFonts w:asciiTheme="majorEastAsia" w:hAnsiTheme="majorEastAsia" w:eastAsiaTheme="majorEastAsia" w:cstheme="majorEastAsia"/>
          <w:b/>
          <w:sz w:val="24"/>
        </w:rPr>
      </w:pPr>
      <w:r>
        <w:rPr>
          <w:rFonts w:hint="eastAsia" w:asciiTheme="majorEastAsia" w:hAnsiTheme="majorEastAsia" w:eastAsiaTheme="majorEastAsia" w:cstheme="majorEastAsia"/>
          <w:sz w:val="24"/>
        </w:rPr>
        <w:t>本次采购采用百分制综合评分法，即投标人最大限度地满足比选文件实质性要求的基础上，按照招标文件的各项因素进行综合评审后，以评标总得分最高的投标人和次高的投标人作为第一和第二排序的中标候选人的评标方法。根据采购要求，</w:t>
      </w:r>
      <w:r>
        <w:rPr>
          <w:rFonts w:hint="eastAsia" w:asciiTheme="majorEastAsia" w:hAnsiTheme="majorEastAsia" w:eastAsiaTheme="majorEastAsia" w:cstheme="majorEastAsia"/>
          <w:b/>
          <w:sz w:val="24"/>
        </w:rPr>
        <w:t>总分设定为100分：技术标70分（权值70%），商务标报价30分（权值30%）。</w:t>
      </w:r>
    </w:p>
    <w:p w14:paraId="4308555F">
      <w:pPr>
        <w:spacing w:line="360" w:lineRule="auto"/>
        <w:ind w:firstLine="482" w:firstLineChars="200"/>
        <w:outlineLvl w:val="1"/>
        <w:rPr>
          <w:rFonts w:asciiTheme="majorEastAsia" w:hAnsiTheme="majorEastAsia" w:eastAsiaTheme="majorEastAsia" w:cstheme="majorEastAsia"/>
          <w:b/>
          <w:sz w:val="24"/>
        </w:rPr>
      </w:pPr>
      <w:bookmarkStart w:id="4" w:name="_Toc11450"/>
      <w:bookmarkStart w:id="5" w:name="_Toc1535"/>
      <w:r>
        <w:rPr>
          <w:rFonts w:hint="eastAsia" w:asciiTheme="majorEastAsia" w:hAnsiTheme="majorEastAsia" w:eastAsiaTheme="majorEastAsia" w:cstheme="majorEastAsia"/>
          <w:b/>
          <w:sz w:val="24"/>
        </w:rPr>
        <w:t>三、评分细则</w:t>
      </w:r>
      <w:bookmarkEnd w:id="4"/>
      <w:bookmarkEnd w:id="5"/>
    </w:p>
    <w:p w14:paraId="2D0FD410">
      <w:pPr>
        <w:spacing w:line="360" w:lineRule="auto"/>
        <w:ind w:firstLine="590" w:firstLineChars="245"/>
        <w:rPr>
          <w:rFonts w:asciiTheme="majorEastAsia" w:hAnsiTheme="majorEastAsia" w:eastAsiaTheme="majorEastAsia" w:cstheme="majorEastAsia"/>
          <w:b/>
          <w:sz w:val="24"/>
        </w:rPr>
      </w:pPr>
      <w:r>
        <w:rPr>
          <w:rFonts w:hint="eastAsia" w:asciiTheme="majorEastAsia" w:hAnsiTheme="majorEastAsia" w:eastAsiaTheme="majorEastAsia" w:cstheme="majorEastAsia"/>
          <w:b/>
          <w:sz w:val="24"/>
        </w:rPr>
        <w:t>1、技术分的评定：技术标70分（权值70%）</w:t>
      </w:r>
    </w:p>
    <w:p w14:paraId="39AE71A3">
      <w:pPr>
        <w:spacing w:line="360" w:lineRule="auto"/>
        <w:ind w:firstLine="588" w:firstLineChars="245"/>
        <w:rPr>
          <w:rFonts w:asciiTheme="majorEastAsia" w:hAnsiTheme="majorEastAsia" w:eastAsiaTheme="majorEastAsia" w:cstheme="majorEastAsia"/>
          <w:sz w:val="24"/>
        </w:rPr>
      </w:pPr>
      <w:r>
        <w:rPr>
          <w:rFonts w:hint="eastAsia" w:asciiTheme="majorEastAsia" w:hAnsiTheme="majorEastAsia" w:eastAsiaTheme="majorEastAsia" w:cstheme="majorEastAsia"/>
          <w:sz w:val="24"/>
        </w:rPr>
        <w:t>各评委成员按下列评分项目进行评判，每人一张评分计算票，并记名。投标文件各项评分内容由评标委员会成员各自评分，如某张票的一个因素项目超过规定的范围，则该张票无效。各评标委员会成员对各投标人的各项评分内容评分的算术平均值为各投标人技术分得分（小数点后按四舍五入保留2位）。</w:t>
      </w:r>
    </w:p>
    <w:tbl>
      <w:tblPr>
        <w:tblStyle w:val="1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64"/>
        <w:gridCol w:w="6125"/>
        <w:gridCol w:w="1033"/>
      </w:tblGrid>
      <w:tr w14:paraId="4F4522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800" w:type="pct"/>
            <w:vAlign w:val="center"/>
          </w:tcPr>
          <w:p w14:paraId="0C3396E6">
            <w:pPr>
              <w:jc w:val="center"/>
              <w:rPr>
                <w:rFonts w:ascii="宋体" w:hAnsi="宋体"/>
                <w:b/>
                <w:sz w:val="22"/>
                <w:szCs w:val="22"/>
              </w:rPr>
            </w:pPr>
            <w:r>
              <w:rPr>
                <w:rFonts w:hint="eastAsia" w:ascii="宋体" w:hAnsi="宋体"/>
                <w:b/>
                <w:sz w:val="22"/>
                <w:szCs w:val="22"/>
              </w:rPr>
              <w:t>评分项目</w:t>
            </w:r>
          </w:p>
        </w:tc>
        <w:tc>
          <w:tcPr>
            <w:tcW w:w="3593" w:type="pct"/>
            <w:vAlign w:val="center"/>
          </w:tcPr>
          <w:p w14:paraId="55163831">
            <w:pPr>
              <w:jc w:val="center"/>
              <w:rPr>
                <w:rFonts w:ascii="宋体" w:hAnsi="宋体"/>
                <w:b/>
                <w:sz w:val="22"/>
                <w:szCs w:val="22"/>
              </w:rPr>
            </w:pPr>
            <w:r>
              <w:rPr>
                <w:rFonts w:hint="eastAsia" w:ascii="宋体" w:hAnsi="宋体"/>
                <w:b/>
                <w:sz w:val="22"/>
                <w:szCs w:val="22"/>
              </w:rPr>
              <w:t>评分标准</w:t>
            </w:r>
          </w:p>
        </w:tc>
        <w:tc>
          <w:tcPr>
            <w:tcW w:w="606" w:type="pct"/>
            <w:vAlign w:val="center"/>
          </w:tcPr>
          <w:p w14:paraId="08F38495">
            <w:pPr>
              <w:jc w:val="center"/>
              <w:rPr>
                <w:rFonts w:ascii="宋体" w:hAnsi="宋体"/>
                <w:b/>
                <w:sz w:val="22"/>
                <w:szCs w:val="22"/>
              </w:rPr>
            </w:pPr>
            <w:r>
              <w:rPr>
                <w:rFonts w:hint="eastAsia" w:ascii="宋体" w:hAnsi="宋体"/>
                <w:b/>
                <w:sz w:val="22"/>
                <w:szCs w:val="22"/>
              </w:rPr>
              <w:t>分值</w:t>
            </w:r>
          </w:p>
        </w:tc>
      </w:tr>
      <w:tr w14:paraId="587C42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3" w:hRule="atLeast"/>
        </w:trPr>
        <w:tc>
          <w:tcPr>
            <w:tcW w:w="800" w:type="pct"/>
            <w:vAlign w:val="center"/>
          </w:tcPr>
          <w:p w14:paraId="3019C0D7">
            <w:pPr>
              <w:jc w:val="center"/>
              <w:rPr>
                <w:rFonts w:ascii="宋体" w:hAnsi="宋体"/>
                <w:b/>
                <w:sz w:val="22"/>
                <w:szCs w:val="22"/>
              </w:rPr>
            </w:pPr>
            <w:r>
              <w:rPr>
                <w:rFonts w:hint="eastAsia" w:ascii="宋体" w:hAnsi="宋体"/>
                <w:b/>
                <w:bCs/>
                <w:sz w:val="22"/>
                <w:szCs w:val="22"/>
              </w:rPr>
              <w:t>投标人综合实力</w:t>
            </w:r>
          </w:p>
        </w:tc>
        <w:tc>
          <w:tcPr>
            <w:tcW w:w="3593" w:type="pct"/>
          </w:tcPr>
          <w:p w14:paraId="7B4D0B12">
            <w:pPr>
              <w:rPr>
                <w:rFonts w:ascii="宋体" w:hAnsi="宋体"/>
                <w:sz w:val="22"/>
                <w:szCs w:val="22"/>
              </w:rPr>
            </w:pPr>
            <w:r>
              <w:rPr>
                <w:rFonts w:hint="eastAsia" w:ascii="宋体" w:hAnsi="宋体"/>
                <w:sz w:val="22"/>
                <w:szCs w:val="22"/>
              </w:rPr>
              <w:t>投标人具有质量管理体系认证证书、环境管理体系认证证书、职业健康安全管理体系认证证书、信息技术服务管理体系认证证书、信息安全管理体系认证证书的每个证书得1分，最高5分。</w:t>
            </w:r>
          </w:p>
          <w:p w14:paraId="4C69737C">
            <w:pPr>
              <w:rPr>
                <w:rFonts w:ascii="宋体" w:hAnsi="宋体"/>
                <w:sz w:val="22"/>
                <w:szCs w:val="22"/>
              </w:rPr>
            </w:pPr>
            <w:r>
              <w:rPr>
                <w:rFonts w:hint="eastAsia" w:ascii="宋体" w:hAnsi="宋体"/>
                <w:sz w:val="22"/>
                <w:szCs w:val="22"/>
              </w:rPr>
              <w:t>提供有效期内证书复印件加盖公章，否则不得分。</w:t>
            </w:r>
          </w:p>
        </w:tc>
        <w:tc>
          <w:tcPr>
            <w:tcW w:w="606" w:type="pct"/>
            <w:vAlign w:val="center"/>
          </w:tcPr>
          <w:p w14:paraId="62D5E7E7">
            <w:pPr>
              <w:jc w:val="center"/>
              <w:rPr>
                <w:rFonts w:ascii="宋体" w:hAnsi="宋体"/>
                <w:sz w:val="22"/>
                <w:szCs w:val="22"/>
              </w:rPr>
            </w:pPr>
            <w:r>
              <w:rPr>
                <w:rFonts w:hint="eastAsia" w:ascii="宋体" w:hAnsi="宋体"/>
                <w:sz w:val="22"/>
                <w:szCs w:val="22"/>
              </w:rPr>
              <w:t>5</w:t>
            </w:r>
          </w:p>
        </w:tc>
      </w:tr>
      <w:tr w14:paraId="7F8D0F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trPr>
        <w:tc>
          <w:tcPr>
            <w:tcW w:w="800" w:type="pct"/>
            <w:vAlign w:val="center"/>
          </w:tcPr>
          <w:p w14:paraId="0E7D30ED">
            <w:pPr>
              <w:jc w:val="center"/>
              <w:rPr>
                <w:rFonts w:ascii="宋体" w:hAnsi="宋体"/>
                <w:b/>
                <w:bCs/>
                <w:sz w:val="22"/>
                <w:szCs w:val="22"/>
              </w:rPr>
            </w:pPr>
            <w:r>
              <w:rPr>
                <w:rFonts w:hint="eastAsia" w:ascii="宋体" w:hAnsi="宋体"/>
                <w:b/>
                <w:bCs/>
                <w:sz w:val="22"/>
                <w:szCs w:val="22"/>
              </w:rPr>
              <w:t>类似项目业绩</w:t>
            </w:r>
          </w:p>
        </w:tc>
        <w:tc>
          <w:tcPr>
            <w:tcW w:w="3593" w:type="pct"/>
            <w:vAlign w:val="center"/>
          </w:tcPr>
          <w:p w14:paraId="513334BE">
            <w:pPr>
              <w:rPr>
                <w:rFonts w:ascii="宋体" w:hAnsi="宋体"/>
                <w:sz w:val="22"/>
                <w:szCs w:val="22"/>
              </w:rPr>
            </w:pPr>
            <w:r>
              <w:rPr>
                <w:rFonts w:hint="eastAsia" w:ascii="宋体" w:hAnsi="宋体"/>
                <w:sz w:val="22"/>
                <w:szCs w:val="22"/>
              </w:rPr>
              <w:t>202</w:t>
            </w:r>
            <w:r>
              <w:rPr>
                <w:rFonts w:ascii="宋体" w:hAnsi="宋体"/>
                <w:sz w:val="22"/>
                <w:szCs w:val="22"/>
              </w:rPr>
              <w:t>2</w:t>
            </w:r>
            <w:r>
              <w:rPr>
                <w:rFonts w:hint="eastAsia" w:ascii="宋体" w:hAnsi="宋体"/>
                <w:sz w:val="22"/>
                <w:szCs w:val="22"/>
              </w:rPr>
              <w:t>年1月1日以来至今（以合同签订时间为准）投标人承接过类似项目业绩，每提供一个合同得1分，本项最高得</w:t>
            </w:r>
            <w:r>
              <w:rPr>
                <w:rFonts w:ascii="宋体" w:hAnsi="宋体"/>
                <w:sz w:val="22"/>
                <w:szCs w:val="22"/>
              </w:rPr>
              <w:t>3</w:t>
            </w:r>
            <w:r>
              <w:rPr>
                <w:rFonts w:hint="eastAsia" w:ascii="宋体" w:hAnsi="宋体"/>
                <w:sz w:val="22"/>
                <w:szCs w:val="22"/>
              </w:rPr>
              <w:t>分。</w:t>
            </w:r>
          </w:p>
          <w:p w14:paraId="220D478C">
            <w:pPr>
              <w:rPr>
                <w:rFonts w:ascii="宋体" w:hAnsi="宋体"/>
                <w:sz w:val="22"/>
                <w:szCs w:val="22"/>
              </w:rPr>
            </w:pPr>
            <w:r>
              <w:rPr>
                <w:rFonts w:hint="eastAsia" w:ascii="宋体" w:hAnsi="宋体"/>
                <w:sz w:val="22"/>
                <w:szCs w:val="22"/>
              </w:rPr>
              <w:t>注：提供合同复印件并加盖投标人公章，否则不得分。</w:t>
            </w:r>
          </w:p>
        </w:tc>
        <w:tc>
          <w:tcPr>
            <w:tcW w:w="606" w:type="pct"/>
            <w:vAlign w:val="center"/>
          </w:tcPr>
          <w:p w14:paraId="690AE84E">
            <w:pPr>
              <w:jc w:val="center"/>
              <w:rPr>
                <w:rFonts w:ascii="宋体" w:hAnsi="宋体"/>
                <w:sz w:val="22"/>
                <w:szCs w:val="22"/>
              </w:rPr>
            </w:pPr>
            <w:r>
              <w:rPr>
                <w:rFonts w:ascii="宋体" w:hAnsi="宋体"/>
                <w:sz w:val="22"/>
                <w:szCs w:val="22"/>
              </w:rPr>
              <w:t>3</w:t>
            </w:r>
          </w:p>
        </w:tc>
      </w:tr>
      <w:tr w14:paraId="28946A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7" w:hRule="atLeast"/>
        </w:trPr>
        <w:tc>
          <w:tcPr>
            <w:tcW w:w="800" w:type="pct"/>
            <w:vMerge w:val="restart"/>
            <w:vAlign w:val="center"/>
          </w:tcPr>
          <w:p w14:paraId="1F58CD51">
            <w:pPr>
              <w:jc w:val="center"/>
              <w:rPr>
                <w:rFonts w:ascii="宋体" w:hAnsi="宋体"/>
                <w:b/>
                <w:bCs/>
                <w:sz w:val="22"/>
                <w:szCs w:val="22"/>
              </w:rPr>
            </w:pPr>
            <w:r>
              <w:rPr>
                <w:rFonts w:hint="eastAsia" w:ascii="宋体" w:hAnsi="宋体"/>
                <w:b/>
                <w:bCs/>
                <w:sz w:val="22"/>
                <w:szCs w:val="22"/>
              </w:rPr>
              <w:t>技术方案</w:t>
            </w:r>
          </w:p>
          <w:p w14:paraId="1B245112">
            <w:pPr>
              <w:jc w:val="center"/>
              <w:rPr>
                <w:rFonts w:ascii="宋体" w:hAnsi="宋体"/>
                <w:b/>
                <w:bCs/>
                <w:sz w:val="22"/>
                <w:szCs w:val="22"/>
              </w:rPr>
            </w:pPr>
          </w:p>
        </w:tc>
        <w:tc>
          <w:tcPr>
            <w:tcW w:w="3593" w:type="pct"/>
            <w:vAlign w:val="center"/>
          </w:tcPr>
          <w:p w14:paraId="73D2F1C4">
            <w:pPr>
              <w:rPr>
                <w:rFonts w:ascii="宋体" w:hAnsi="宋体"/>
                <w:sz w:val="22"/>
                <w:szCs w:val="22"/>
              </w:rPr>
            </w:pPr>
            <w:r>
              <w:rPr>
                <w:rFonts w:hint="eastAsia" w:ascii="宋体" w:hAnsi="宋体"/>
                <w:sz w:val="22"/>
                <w:szCs w:val="22"/>
              </w:rPr>
              <w:t>根据对项目技术方案的完整性、科学性、合理性、可靠性等方面进行打分：</w:t>
            </w:r>
          </w:p>
          <w:p w14:paraId="6D09D128">
            <w:pPr>
              <w:rPr>
                <w:rFonts w:ascii="宋体" w:hAnsi="宋体"/>
                <w:sz w:val="22"/>
                <w:szCs w:val="22"/>
              </w:rPr>
            </w:pPr>
            <w:r>
              <w:rPr>
                <w:rFonts w:hint="eastAsia" w:ascii="宋体" w:hAnsi="宋体"/>
                <w:sz w:val="22"/>
                <w:szCs w:val="22"/>
              </w:rPr>
              <w:t>技术方案：包括总体架构、项目理解、原站迁移、管理平台结构及描述清楚、完善，整体方案完整、科学、合理、可靠性。</w:t>
            </w:r>
          </w:p>
          <w:p w14:paraId="3542CB7F">
            <w:pPr>
              <w:rPr>
                <w:rFonts w:ascii="宋体" w:hAnsi="宋体"/>
                <w:sz w:val="22"/>
                <w:szCs w:val="22"/>
              </w:rPr>
            </w:pPr>
            <w:r>
              <w:rPr>
                <w:rFonts w:hint="eastAsia" w:ascii="宋体" w:hAnsi="宋体"/>
                <w:sz w:val="22"/>
                <w:szCs w:val="22"/>
              </w:rPr>
              <w:t>好：11-15分；一般：6-10分；差：0-5分。</w:t>
            </w:r>
          </w:p>
        </w:tc>
        <w:tc>
          <w:tcPr>
            <w:tcW w:w="606" w:type="pct"/>
            <w:vAlign w:val="center"/>
          </w:tcPr>
          <w:p w14:paraId="58C1926B">
            <w:pPr>
              <w:jc w:val="center"/>
              <w:rPr>
                <w:rFonts w:ascii="宋体" w:hAnsi="宋体"/>
                <w:sz w:val="22"/>
                <w:szCs w:val="22"/>
              </w:rPr>
            </w:pPr>
            <w:r>
              <w:rPr>
                <w:rFonts w:hint="eastAsia" w:ascii="宋体" w:hAnsi="宋体"/>
                <w:sz w:val="22"/>
                <w:szCs w:val="22"/>
              </w:rPr>
              <w:t>15</w:t>
            </w:r>
          </w:p>
        </w:tc>
      </w:tr>
      <w:tr w14:paraId="2FFCFF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7" w:hRule="atLeast"/>
        </w:trPr>
        <w:tc>
          <w:tcPr>
            <w:tcW w:w="800" w:type="pct"/>
            <w:vMerge w:val="continue"/>
            <w:vAlign w:val="center"/>
          </w:tcPr>
          <w:p w14:paraId="4A7427EA">
            <w:pPr>
              <w:jc w:val="center"/>
              <w:rPr>
                <w:rFonts w:ascii="宋体" w:hAnsi="宋体"/>
                <w:b/>
                <w:bCs/>
                <w:sz w:val="22"/>
                <w:szCs w:val="22"/>
              </w:rPr>
            </w:pPr>
          </w:p>
        </w:tc>
        <w:tc>
          <w:tcPr>
            <w:tcW w:w="3593" w:type="pct"/>
            <w:vAlign w:val="center"/>
          </w:tcPr>
          <w:p w14:paraId="55EA9E80">
            <w:pPr>
              <w:rPr>
                <w:rFonts w:ascii="宋体" w:hAnsi="宋体"/>
                <w:sz w:val="22"/>
                <w:szCs w:val="22"/>
              </w:rPr>
            </w:pPr>
            <w:r>
              <w:rPr>
                <w:rFonts w:hint="eastAsia" w:ascii="宋体" w:hAnsi="宋体"/>
                <w:sz w:val="22"/>
                <w:szCs w:val="22"/>
              </w:rPr>
              <w:t>项目总体施工方案（包括实施流程计划、施工进度安排、人力资源安排、施工安全及质量保证措施等）的针对性、合理性及完整程度等进行综合评分。好：6-8分；一般：3-5分；差：0-2分。</w:t>
            </w:r>
          </w:p>
        </w:tc>
        <w:tc>
          <w:tcPr>
            <w:tcW w:w="606" w:type="pct"/>
            <w:vAlign w:val="center"/>
          </w:tcPr>
          <w:p w14:paraId="1E1DCC7E">
            <w:pPr>
              <w:jc w:val="center"/>
              <w:rPr>
                <w:rFonts w:ascii="宋体" w:hAnsi="宋体"/>
                <w:sz w:val="22"/>
                <w:szCs w:val="22"/>
              </w:rPr>
            </w:pPr>
            <w:r>
              <w:rPr>
                <w:rFonts w:hint="eastAsia" w:ascii="宋体" w:hAnsi="宋体"/>
                <w:sz w:val="22"/>
                <w:szCs w:val="22"/>
              </w:rPr>
              <w:t>8</w:t>
            </w:r>
          </w:p>
        </w:tc>
      </w:tr>
      <w:tr w14:paraId="213CD9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5" w:hRule="atLeast"/>
        </w:trPr>
        <w:tc>
          <w:tcPr>
            <w:tcW w:w="800" w:type="pct"/>
            <w:vAlign w:val="center"/>
          </w:tcPr>
          <w:p w14:paraId="4348CDCC">
            <w:pPr>
              <w:widowControl/>
              <w:jc w:val="center"/>
              <w:textAlignment w:val="center"/>
              <w:rPr>
                <w:rFonts w:ascii="宋体" w:hAnsi="宋体"/>
                <w:b/>
                <w:bCs/>
                <w:sz w:val="22"/>
                <w:szCs w:val="22"/>
              </w:rPr>
            </w:pPr>
            <w:r>
              <w:rPr>
                <w:rFonts w:hint="eastAsia" w:ascii="宋体" w:hAnsi="宋体"/>
                <w:b/>
                <w:bCs/>
                <w:sz w:val="22"/>
                <w:szCs w:val="22"/>
              </w:rPr>
              <w:t>应急处理方案</w:t>
            </w:r>
          </w:p>
        </w:tc>
        <w:tc>
          <w:tcPr>
            <w:tcW w:w="3593" w:type="pct"/>
            <w:vAlign w:val="center"/>
          </w:tcPr>
          <w:p w14:paraId="5873C714">
            <w:pPr>
              <w:widowControl/>
              <w:textAlignment w:val="top"/>
              <w:rPr>
                <w:rFonts w:ascii="宋体" w:hAnsi="宋体"/>
                <w:sz w:val="22"/>
                <w:szCs w:val="22"/>
              </w:rPr>
            </w:pPr>
            <w:r>
              <w:rPr>
                <w:rFonts w:hint="eastAsia" w:ascii="宋体" w:hAnsi="宋体"/>
                <w:sz w:val="22"/>
                <w:szCs w:val="22"/>
              </w:rPr>
              <w:t>对突发紧急事件处理能力，包含网络处理能力、故障处置、应急保障等应急解决能力，由专家评审，好：</w:t>
            </w:r>
            <w:r>
              <w:rPr>
                <w:rFonts w:ascii="宋体" w:hAnsi="宋体"/>
                <w:sz w:val="22"/>
                <w:szCs w:val="22"/>
              </w:rPr>
              <w:t>7</w:t>
            </w:r>
            <w:r>
              <w:rPr>
                <w:rFonts w:hint="eastAsia" w:ascii="宋体" w:hAnsi="宋体"/>
                <w:sz w:val="22"/>
                <w:szCs w:val="22"/>
              </w:rPr>
              <w:t>-</w:t>
            </w:r>
            <w:r>
              <w:rPr>
                <w:rFonts w:ascii="宋体" w:hAnsi="宋体"/>
                <w:sz w:val="22"/>
                <w:szCs w:val="22"/>
              </w:rPr>
              <w:t>9</w:t>
            </w:r>
            <w:r>
              <w:rPr>
                <w:rFonts w:hint="eastAsia" w:ascii="宋体" w:hAnsi="宋体"/>
                <w:sz w:val="22"/>
                <w:szCs w:val="22"/>
              </w:rPr>
              <w:t>分；一般：</w:t>
            </w:r>
            <w:r>
              <w:rPr>
                <w:rFonts w:ascii="宋体" w:hAnsi="宋体"/>
                <w:sz w:val="22"/>
                <w:szCs w:val="22"/>
              </w:rPr>
              <w:t>4</w:t>
            </w:r>
            <w:r>
              <w:rPr>
                <w:rFonts w:hint="eastAsia" w:ascii="宋体" w:hAnsi="宋体"/>
                <w:sz w:val="22"/>
                <w:szCs w:val="22"/>
              </w:rPr>
              <w:t>-</w:t>
            </w:r>
            <w:r>
              <w:rPr>
                <w:rFonts w:ascii="宋体" w:hAnsi="宋体"/>
                <w:sz w:val="22"/>
                <w:szCs w:val="22"/>
              </w:rPr>
              <w:t>6</w:t>
            </w:r>
            <w:r>
              <w:rPr>
                <w:rFonts w:hint="eastAsia" w:ascii="宋体" w:hAnsi="宋体"/>
                <w:sz w:val="22"/>
                <w:szCs w:val="22"/>
              </w:rPr>
              <w:t>分；差：0-3分。</w:t>
            </w:r>
          </w:p>
        </w:tc>
        <w:tc>
          <w:tcPr>
            <w:tcW w:w="606" w:type="pct"/>
            <w:vAlign w:val="center"/>
          </w:tcPr>
          <w:p w14:paraId="23D1F50B">
            <w:pPr>
              <w:widowControl/>
              <w:jc w:val="center"/>
              <w:textAlignment w:val="center"/>
              <w:rPr>
                <w:rFonts w:ascii="宋体" w:hAnsi="宋体"/>
                <w:sz w:val="22"/>
                <w:szCs w:val="22"/>
              </w:rPr>
            </w:pPr>
            <w:r>
              <w:rPr>
                <w:rFonts w:ascii="宋体" w:hAnsi="宋体"/>
                <w:sz w:val="22"/>
                <w:szCs w:val="22"/>
              </w:rPr>
              <w:t>9</w:t>
            </w:r>
          </w:p>
        </w:tc>
      </w:tr>
      <w:tr w14:paraId="726A25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0" w:hRule="atLeast"/>
        </w:trPr>
        <w:tc>
          <w:tcPr>
            <w:tcW w:w="800" w:type="pct"/>
            <w:vAlign w:val="center"/>
          </w:tcPr>
          <w:p w14:paraId="36807185">
            <w:pPr>
              <w:jc w:val="center"/>
              <w:rPr>
                <w:rFonts w:ascii="宋体" w:hAnsi="宋体"/>
                <w:b/>
                <w:bCs/>
                <w:sz w:val="22"/>
                <w:szCs w:val="22"/>
              </w:rPr>
            </w:pPr>
            <w:r>
              <w:rPr>
                <w:rFonts w:hint="eastAsia" w:ascii="宋体" w:hAnsi="宋体"/>
                <w:b/>
                <w:bCs/>
                <w:sz w:val="22"/>
                <w:szCs w:val="22"/>
              </w:rPr>
              <w:t>拟派服务团队配置</w:t>
            </w:r>
          </w:p>
        </w:tc>
        <w:tc>
          <w:tcPr>
            <w:tcW w:w="3593" w:type="pct"/>
            <w:vAlign w:val="center"/>
          </w:tcPr>
          <w:p w14:paraId="66BBDE9C">
            <w:pPr>
              <w:rPr>
                <w:rFonts w:ascii="宋体" w:hAnsi="宋体"/>
                <w:sz w:val="22"/>
                <w:szCs w:val="22"/>
              </w:rPr>
            </w:pPr>
            <w:r>
              <w:rPr>
                <w:rFonts w:hint="eastAsia" w:ascii="宋体" w:hAnsi="宋体"/>
                <w:sz w:val="22"/>
                <w:szCs w:val="22"/>
              </w:rPr>
              <w:t>1、拟投入项目负责人具有信息系统项目管理师证书、网络应用工程师、IT服务项目经理(ITSS)证书（或ITSS运维服务工程师证书）、通信工程师每有一本证书得1分，最高3分。</w:t>
            </w:r>
          </w:p>
          <w:p w14:paraId="5057E202">
            <w:pPr>
              <w:rPr>
                <w:rFonts w:ascii="宋体" w:hAnsi="宋体"/>
                <w:sz w:val="22"/>
                <w:szCs w:val="22"/>
              </w:rPr>
            </w:pPr>
            <w:r>
              <w:rPr>
                <w:rFonts w:hint="eastAsia" w:ascii="宋体" w:hAnsi="宋体"/>
                <w:sz w:val="22"/>
                <w:szCs w:val="22"/>
              </w:rPr>
              <w:t>2、拟投入技术负责人具备软件设计师证书、高级软件开发工程师证书、高级数据库管理工程师证书，每具备一个证书得1分，最高3分。</w:t>
            </w:r>
          </w:p>
          <w:p w14:paraId="41BE9767">
            <w:pPr>
              <w:rPr>
                <w:rFonts w:ascii="宋体" w:hAnsi="宋体"/>
                <w:sz w:val="22"/>
                <w:szCs w:val="22"/>
              </w:rPr>
            </w:pPr>
            <w:r>
              <w:rPr>
                <w:rFonts w:hint="eastAsia" w:ascii="宋体" w:hAnsi="宋体"/>
                <w:sz w:val="22"/>
                <w:szCs w:val="22"/>
              </w:rPr>
              <w:t>3、投标人拟派服务团队（除项目负责人、技术负责人外）相关技能证书，一份得1分，同一人具有多个证书只能计一个，不能重复得分，最高得6分。</w:t>
            </w:r>
          </w:p>
        </w:tc>
        <w:tc>
          <w:tcPr>
            <w:tcW w:w="606" w:type="pct"/>
            <w:vAlign w:val="center"/>
          </w:tcPr>
          <w:p w14:paraId="3CEA01B9">
            <w:pPr>
              <w:jc w:val="center"/>
              <w:rPr>
                <w:rFonts w:ascii="宋体" w:hAnsi="宋体"/>
                <w:sz w:val="22"/>
                <w:szCs w:val="22"/>
              </w:rPr>
            </w:pPr>
            <w:r>
              <w:rPr>
                <w:rFonts w:hint="eastAsia" w:ascii="宋体" w:hAnsi="宋体"/>
                <w:sz w:val="22"/>
                <w:szCs w:val="22"/>
              </w:rPr>
              <w:t>12</w:t>
            </w:r>
          </w:p>
        </w:tc>
      </w:tr>
      <w:tr w14:paraId="31B5F7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 w:hRule="atLeast"/>
        </w:trPr>
        <w:tc>
          <w:tcPr>
            <w:tcW w:w="800" w:type="pct"/>
            <w:vAlign w:val="center"/>
          </w:tcPr>
          <w:p w14:paraId="301D80EF">
            <w:pPr>
              <w:jc w:val="center"/>
              <w:rPr>
                <w:rFonts w:ascii="宋体" w:hAnsi="宋体"/>
                <w:sz w:val="22"/>
                <w:szCs w:val="22"/>
              </w:rPr>
            </w:pPr>
            <w:r>
              <w:rPr>
                <w:rFonts w:hint="eastAsia" w:ascii="宋体" w:hAnsi="宋体"/>
                <w:b/>
                <w:bCs/>
                <w:sz w:val="22"/>
                <w:szCs w:val="22"/>
              </w:rPr>
              <w:t>售后服务方案</w:t>
            </w:r>
          </w:p>
        </w:tc>
        <w:tc>
          <w:tcPr>
            <w:tcW w:w="3593" w:type="pct"/>
            <w:vAlign w:val="center"/>
          </w:tcPr>
          <w:p w14:paraId="7E25BC50">
            <w:pPr>
              <w:rPr>
                <w:rFonts w:ascii="宋体" w:hAnsi="宋体"/>
                <w:sz w:val="22"/>
                <w:szCs w:val="22"/>
              </w:rPr>
            </w:pPr>
            <w:r>
              <w:rPr>
                <w:rFonts w:hint="eastAsia" w:ascii="宋体" w:hAnsi="宋体" w:cs="宋体"/>
                <w:kern w:val="0"/>
                <w:sz w:val="22"/>
                <w:szCs w:val="22"/>
              </w:rPr>
              <w:t>根据供应商提供的售后服务方案(包括响应时间、到场时间和问题解决时长的情况、技术人员配置等)、售后服务承诺的可行性、完整性以及服务承诺落实的保障措施，维护期内外的后续技术支持和维护能力情况</w:t>
            </w:r>
            <w:r>
              <w:rPr>
                <w:rFonts w:hint="eastAsia" w:ascii="宋体" w:hAnsi="宋体"/>
                <w:sz w:val="22"/>
                <w:szCs w:val="22"/>
              </w:rPr>
              <w:t>等综合评价。好：7-9分；一般：4-6分；差0-3分。</w:t>
            </w:r>
          </w:p>
        </w:tc>
        <w:tc>
          <w:tcPr>
            <w:tcW w:w="606" w:type="pct"/>
            <w:vAlign w:val="center"/>
          </w:tcPr>
          <w:p w14:paraId="5FD337D1">
            <w:pPr>
              <w:jc w:val="center"/>
              <w:rPr>
                <w:rFonts w:ascii="宋体" w:hAnsi="宋体"/>
                <w:sz w:val="22"/>
                <w:szCs w:val="22"/>
              </w:rPr>
            </w:pPr>
            <w:r>
              <w:rPr>
                <w:rFonts w:hint="eastAsia" w:ascii="宋体" w:hAnsi="宋体"/>
                <w:sz w:val="22"/>
                <w:szCs w:val="22"/>
              </w:rPr>
              <w:t>9</w:t>
            </w:r>
          </w:p>
        </w:tc>
      </w:tr>
      <w:tr w14:paraId="71AD88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 w:hRule="atLeast"/>
        </w:trPr>
        <w:tc>
          <w:tcPr>
            <w:tcW w:w="800" w:type="pct"/>
            <w:vAlign w:val="center"/>
          </w:tcPr>
          <w:p w14:paraId="5EE030F6">
            <w:pPr>
              <w:jc w:val="center"/>
              <w:rPr>
                <w:rFonts w:ascii="宋体" w:hAnsi="宋体"/>
                <w:sz w:val="22"/>
                <w:szCs w:val="22"/>
              </w:rPr>
            </w:pPr>
            <w:r>
              <w:rPr>
                <w:rFonts w:hint="eastAsia" w:ascii="宋体" w:hAnsi="宋体"/>
                <w:b/>
                <w:bCs/>
                <w:sz w:val="22"/>
                <w:szCs w:val="22"/>
              </w:rPr>
              <w:t>培训方案</w:t>
            </w:r>
          </w:p>
        </w:tc>
        <w:tc>
          <w:tcPr>
            <w:tcW w:w="3593" w:type="pct"/>
            <w:vAlign w:val="center"/>
          </w:tcPr>
          <w:p w14:paraId="4D1F6224">
            <w:pPr>
              <w:tabs>
                <w:tab w:val="left" w:pos="4320"/>
              </w:tabs>
              <w:rPr>
                <w:rFonts w:ascii="宋体" w:hAnsi="宋体"/>
                <w:sz w:val="22"/>
                <w:szCs w:val="22"/>
              </w:rPr>
            </w:pPr>
            <w:r>
              <w:rPr>
                <w:rFonts w:hint="eastAsia" w:ascii="宋体" w:hAnsi="宋体" w:cs="宋体"/>
                <w:kern w:val="0"/>
                <w:sz w:val="22"/>
                <w:szCs w:val="22"/>
              </w:rPr>
              <w:t>根据供应商提供针对本项目培训计划方案，提供系统使用指导，对系统使用人员进行指导培训工作是否科学、合理、有效等方面</w:t>
            </w:r>
            <w:r>
              <w:rPr>
                <w:rFonts w:hint="eastAsia" w:ascii="宋体" w:hAnsi="宋体"/>
                <w:sz w:val="22"/>
                <w:szCs w:val="22"/>
              </w:rPr>
              <w:t>综合评价。好：7-9分；一般：4-6分；差0-3分。</w:t>
            </w:r>
          </w:p>
        </w:tc>
        <w:tc>
          <w:tcPr>
            <w:tcW w:w="606" w:type="pct"/>
            <w:vAlign w:val="center"/>
          </w:tcPr>
          <w:p w14:paraId="18FCAC87">
            <w:pPr>
              <w:jc w:val="center"/>
              <w:rPr>
                <w:rFonts w:ascii="宋体" w:hAnsi="宋体"/>
                <w:sz w:val="22"/>
                <w:szCs w:val="22"/>
              </w:rPr>
            </w:pPr>
            <w:r>
              <w:rPr>
                <w:rFonts w:hint="eastAsia" w:ascii="宋体" w:hAnsi="宋体"/>
                <w:sz w:val="22"/>
                <w:szCs w:val="22"/>
              </w:rPr>
              <w:t>9</w:t>
            </w:r>
          </w:p>
        </w:tc>
      </w:tr>
    </w:tbl>
    <w:p w14:paraId="0D67F59C">
      <w:pPr>
        <w:spacing w:line="360" w:lineRule="auto"/>
        <w:rPr>
          <w:rFonts w:asciiTheme="majorEastAsia" w:hAnsiTheme="majorEastAsia" w:eastAsiaTheme="majorEastAsia" w:cstheme="majorEastAsia"/>
          <w:sz w:val="24"/>
        </w:rPr>
      </w:pPr>
      <w:r>
        <w:rPr>
          <w:rFonts w:hint="eastAsia" w:asciiTheme="majorEastAsia" w:hAnsiTheme="majorEastAsia" w:eastAsiaTheme="majorEastAsia" w:cstheme="majorEastAsia"/>
          <w:sz w:val="24"/>
        </w:rPr>
        <w:t>备注：</w:t>
      </w:r>
    </w:p>
    <w:p w14:paraId="4531D35B">
      <w:pPr>
        <w:spacing w:line="360" w:lineRule="auto"/>
        <w:rPr>
          <w:rFonts w:asciiTheme="majorEastAsia" w:hAnsiTheme="majorEastAsia" w:eastAsiaTheme="majorEastAsia" w:cstheme="majorEastAsia"/>
          <w:sz w:val="24"/>
        </w:rPr>
      </w:pPr>
      <w:r>
        <w:rPr>
          <w:rFonts w:hint="eastAsia" w:asciiTheme="majorEastAsia" w:hAnsiTheme="majorEastAsia" w:eastAsiaTheme="majorEastAsia" w:cstheme="majorEastAsia"/>
          <w:sz w:val="24"/>
        </w:rPr>
        <w:t>评标依据以投标人商务技术文件中加盖有效公章的证书/证明文件复印件为准；</w:t>
      </w:r>
    </w:p>
    <w:p w14:paraId="4A1770B0">
      <w:pPr>
        <w:spacing w:line="360" w:lineRule="auto"/>
        <w:rPr>
          <w:rFonts w:asciiTheme="majorEastAsia" w:hAnsiTheme="majorEastAsia" w:eastAsiaTheme="majorEastAsia" w:cstheme="majorEastAsia"/>
          <w:sz w:val="24"/>
        </w:rPr>
      </w:pPr>
      <w:r>
        <w:rPr>
          <w:rFonts w:hint="eastAsia" w:asciiTheme="majorEastAsia" w:hAnsiTheme="majorEastAsia" w:eastAsiaTheme="majorEastAsia" w:cstheme="majorEastAsia"/>
          <w:sz w:val="24"/>
        </w:rPr>
        <w:t>业绩评分项，投标人须提供证明材料，证明材料以评标标准要求为准。评标委员会、采购机构在项目评审直至合同签订、履约期间，有权要求投标人出具投标文件中的合同文本原件，予以确认其的真实性和有效性，如出现与事实不符等情况，将根据有关规定以“提供虚假材料谋取中标”予以处理。</w:t>
      </w:r>
    </w:p>
    <w:p w14:paraId="2318282E">
      <w:pPr>
        <w:spacing w:line="360" w:lineRule="auto"/>
        <w:rPr>
          <w:rFonts w:asciiTheme="majorEastAsia" w:hAnsiTheme="majorEastAsia" w:eastAsiaTheme="majorEastAsia" w:cstheme="majorEastAsia"/>
          <w:sz w:val="24"/>
        </w:rPr>
      </w:pPr>
      <w:r>
        <w:rPr>
          <w:rFonts w:hint="eastAsia" w:asciiTheme="majorEastAsia" w:hAnsiTheme="majorEastAsia" w:eastAsiaTheme="majorEastAsia" w:cstheme="majorEastAsia"/>
          <w:sz w:val="24"/>
        </w:rPr>
        <w:t>投标人售后服务机构，应提交场地租赁协议、营业执照等证明材料。</w:t>
      </w:r>
    </w:p>
    <w:p w14:paraId="5C703D89">
      <w:pPr>
        <w:spacing w:line="360" w:lineRule="auto"/>
        <w:rPr>
          <w:rFonts w:asciiTheme="majorEastAsia" w:hAnsiTheme="majorEastAsia" w:eastAsiaTheme="majorEastAsia" w:cstheme="majorEastAsia"/>
          <w:sz w:val="24"/>
        </w:rPr>
      </w:pPr>
    </w:p>
    <w:p w14:paraId="21F4C235">
      <w:pPr>
        <w:spacing w:line="360" w:lineRule="auto"/>
        <w:rPr>
          <w:rFonts w:asciiTheme="majorEastAsia" w:hAnsiTheme="majorEastAsia" w:eastAsiaTheme="majorEastAsia" w:cstheme="majorEastAsia"/>
          <w:sz w:val="24"/>
        </w:rPr>
      </w:pPr>
    </w:p>
    <w:p w14:paraId="24DE488B">
      <w:pPr>
        <w:spacing w:line="360" w:lineRule="auto"/>
        <w:rPr>
          <w:rFonts w:asciiTheme="majorEastAsia" w:hAnsiTheme="majorEastAsia" w:eastAsiaTheme="majorEastAsia" w:cstheme="majorEastAsia"/>
          <w:sz w:val="24"/>
        </w:rPr>
      </w:pPr>
    </w:p>
    <w:p w14:paraId="15C9EDF2">
      <w:pPr>
        <w:spacing w:line="360" w:lineRule="auto"/>
        <w:ind w:firstLine="590" w:firstLineChars="245"/>
        <w:rPr>
          <w:rFonts w:asciiTheme="majorEastAsia" w:hAnsiTheme="majorEastAsia" w:eastAsiaTheme="majorEastAsia" w:cstheme="majorEastAsia"/>
          <w:b/>
          <w:sz w:val="24"/>
        </w:rPr>
      </w:pPr>
      <w:r>
        <w:rPr>
          <w:rFonts w:hint="eastAsia" w:asciiTheme="majorEastAsia" w:hAnsiTheme="majorEastAsia" w:eastAsiaTheme="majorEastAsia" w:cstheme="majorEastAsia"/>
          <w:b/>
          <w:sz w:val="24"/>
        </w:rPr>
        <w:t>2、商务评分30分（权值30%）：</w:t>
      </w:r>
    </w:p>
    <w:p w14:paraId="21DD73E1">
      <w:pPr>
        <w:spacing w:line="360" w:lineRule="auto"/>
        <w:ind w:firstLine="588" w:firstLineChars="245"/>
        <w:rPr>
          <w:rFonts w:asciiTheme="majorEastAsia" w:hAnsiTheme="majorEastAsia" w:eastAsiaTheme="majorEastAsia" w:cstheme="majorEastAsia"/>
          <w:sz w:val="24"/>
        </w:rPr>
      </w:pPr>
      <w:r>
        <w:rPr>
          <w:rFonts w:hint="eastAsia" w:asciiTheme="majorEastAsia" w:hAnsiTheme="majorEastAsia" w:eastAsiaTheme="majorEastAsia" w:cstheme="majorEastAsia"/>
          <w:sz w:val="24"/>
        </w:rPr>
        <w:t>满足招标文件要求且投标报价面值最低的投标报价为评标基准价，</w:t>
      </w:r>
      <w:r>
        <w:rPr>
          <w:rFonts w:hint="eastAsia" w:asciiTheme="minorEastAsia" w:hAnsiTheme="minorEastAsia"/>
          <w:b/>
          <w:bCs/>
          <w:color w:val="FF0000"/>
          <w:sz w:val="24"/>
          <w:u w:val="single"/>
        </w:rPr>
        <w:t>如报价低于所有投标人平均报价的50%时，需提供成本说明，否则视为无效投标。</w:t>
      </w:r>
      <w:r>
        <w:rPr>
          <w:rFonts w:hint="eastAsia" w:asciiTheme="majorEastAsia" w:hAnsiTheme="majorEastAsia" w:eastAsiaTheme="majorEastAsia" w:cstheme="majorEastAsia"/>
          <w:sz w:val="24"/>
        </w:rPr>
        <w:t>其余投标人投标报价与该基准价对比，计算出商务报价评分值（保留小数2位）：</w:t>
      </w:r>
    </w:p>
    <w:p w14:paraId="6A806D0B">
      <w:pPr>
        <w:spacing w:line="360" w:lineRule="auto"/>
        <w:rPr>
          <w:rFonts w:asciiTheme="majorEastAsia" w:hAnsiTheme="majorEastAsia" w:eastAsiaTheme="majorEastAsia" w:cstheme="majorEastAsia"/>
          <w:sz w:val="24"/>
        </w:rPr>
      </w:pPr>
      <w:r>
        <w:rPr>
          <w:rFonts w:hint="eastAsia" w:asciiTheme="majorEastAsia" w:hAnsiTheme="majorEastAsia" w:eastAsiaTheme="majorEastAsia" w:cstheme="majorEastAsia"/>
          <w:sz w:val="24"/>
        </w:rPr>
        <w:tab/>
      </w:r>
      <w:r>
        <w:rPr>
          <w:rFonts w:hint="eastAsia" w:asciiTheme="majorEastAsia" w:hAnsiTheme="majorEastAsia" w:eastAsiaTheme="majorEastAsia" w:cstheme="majorEastAsia"/>
          <w:sz w:val="24"/>
        </w:rPr>
        <w:t>（1）有效投标人的投标报价等于评标基准价时其报价分为满分40分；</w:t>
      </w:r>
    </w:p>
    <w:p w14:paraId="64C53BBE">
      <w:pPr>
        <w:spacing w:line="360" w:lineRule="auto"/>
        <w:rPr>
          <w:rFonts w:asciiTheme="majorEastAsia" w:hAnsiTheme="majorEastAsia" w:eastAsiaTheme="majorEastAsia" w:cstheme="majorEastAsia"/>
          <w:sz w:val="24"/>
        </w:rPr>
      </w:pPr>
      <w:r>
        <w:rPr>
          <w:rFonts w:hint="eastAsia" w:asciiTheme="majorEastAsia" w:hAnsiTheme="majorEastAsia" w:eastAsiaTheme="majorEastAsia" w:cstheme="majorEastAsia"/>
          <w:sz w:val="24"/>
        </w:rPr>
        <w:tab/>
      </w:r>
      <w:r>
        <w:rPr>
          <w:rFonts w:hint="eastAsia" w:asciiTheme="majorEastAsia" w:hAnsiTheme="majorEastAsia" w:eastAsiaTheme="majorEastAsia" w:cstheme="majorEastAsia"/>
          <w:sz w:val="24"/>
        </w:rPr>
        <w:t>（2）其他投标人的价格分按以下公式计算：</w:t>
      </w:r>
    </w:p>
    <w:p w14:paraId="0E1AE5A8">
      <w:pPr>
        <w:spacing w:line="360" w:lineRule="auto"/>
        <w:rPr>
          <w:rFonts w:asciiTheme="majorEastAsia" w:hAnsiTheme="majorEastAsia" w:eastAsiaTheme="majorEastAsia" w:cstheme="majorEastAsia"/>
          <w:sz w:val="24"/>
        </w:rPr>
      </w:pPr>
      <w:r>
        <w:rPr>
          <w:rFonts w:hint="eastAsia" w:asciiTheme="majorEastAsia" w:hAnsiTheme="majorEastAsia" w:eastAsiaTheme="majorEastAsia" w:cstheme="majorEastAsia"/>
          <w:sz w:val="24"/>
        </w:rPr>
        <w:tab/>
      </w:r>
      <w:r>
        <w:rPr>
          <w:rFonts w:hint="eastAsia" w:asciiTheme="majorEastAsia" w:hAnsiTheme="majorEastAsia" w:eastAsiaTheme="majorEastAsia" w:cstheme="majorEastAsia"/>
          <w:sz w:val="24"/>
        </w:rPr>
        <w:t>投标报价得分=（评分基准价/投标人投标报价）× 价格权值 ×100（保留小数2位）</w:t>
      </w:r>
    </w:p>
    <w:p w14:paraId="4ED62A74">
      <w:pPr>
        <w:spacing w:line="360" w:lineRule="auto"/>
        <w:rPr>
          <w:rFonts w:asciiTheme="majorEastAsia" w:hAnsiTheme="majorEastAsia" w:eastAsiaTheme="majorEastAsia" w:cstheme="majorEastAsia"/>
          <w:sz w:val="24"/>
        </w:rPr>
      </w:pPr>
      <w:r>
        <w:rPr>
          <w:rFonts w:hint="eastAsia" w:asciiTheme="majorEastAsia" w:hAnsiTheme="majorEastAsia" w:eastAsiaTheme="majorEastAsia" w:cstheme="majorEastAsia"/>
          <w:sz w:val="24"/>
        </w:rPr>
        <w:tab/>
      </w:r>
      <w:r>
        <w:rPr>
          <w:rFonts w:hint="eastAsia" w:asciiTheme="majorEastAsia" w:hAnsiTheme="majorEastAsia" w:eastAsiaTheme="majorEastAsia" w:cstheme="majorEastAsia"/>
          <w:sz w:val="24"/>
        </w:rPr>
        <w:t>（3）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4DFDF9DE">
      <w:pPr>
        <w:spacing w:line="360" w:lineRule="auto"/>
        <w:rPr>
          <w:rFonts w:asciiTheme="majorEastAsia" w:hAnsiTheme="majorEastAsia" w:eastAsiaTheme="majorEastAsia" w:cstheme="majorEastAsia"/>
          <w:sz w:val="24"/>
        </w:rPr>
      </w:pPr>
      <w:r>
        <w:rPr>
          <w:rFonts w:hint="eastAsia" w:asciiTheme="majorEastAsia" w:hAnsiTheme="majorEastAsia" w:eastAsiaTheme="majorEastAsia" w:cstheme="majorEastAsia"/>
          <w:sz w:val="24"/>
        </w:rPr>
        <w:tab/>
      </w:r>
      <w:r>
        <w:rPr>
          <w:rFonts w:hint="eastAsia" w:asciiTheme="majorEastAsia" w:hAnsiTheme="majorEastAsia" w:eastAsiaTheme="majorEastAsia" w:cstheme="majorEastAsia"/>
          <w:sz w:val="24"/>
        </w:rPr>
        <w:t>（4）投标人所报总价不得超过预算金额，否则当无效标处理。</w:t>
      </w:r>
    </w:p>
    <w:p w14:paraId="28CF6CBE">
      <w:pPr>
        <w:spacing w:line="360" w:lineRule="auto"/>
        <w:rPr>
          <w:rFonts w:asciiTheme="majorEastAsia" w:hAnsiTheme="majorEastAsia" w:eastAsiaTheme="majorEastAsia" w:cstheme="majorEastAsia"/>
          <w:sz w:val="24"/>
        </w:rPr>
      </w:pPr>
      <w:r>
        <w:rPr>
          <w:rFonts w:hint="eastAsia" w:asciiTheme="majorEastAsia" w:hAnsiTheme="majorEastAsia" w:eastAsiaTheme="majorEastAsia" w:cstheme="majorEastAsia"/>
          <w:sz w:val="24"/>
        </w:rPr>
        <w:tab/>
      </w:r>
      <w:r>
        <w:rPr>
          <w:rFonts w:hint="eastAsia" w:asciiTheme="majorEastAsia" w:hAnsiTheme="majorEastAsia" w:eastAsiaTheme="majorEastAsia" w:cstheme="majorEastAsia"/>
          <w:sz w:val="24"/>
        </w:rPr>
        <w:t>（三）综合得分（100分）（权值100%）</w:t>
      </w:r>
    </w:p>
    <w:p w14:paraId="712B17B5">
      <w:pPr>
        <w:spacing w:line="360" w:lineRule="auto"/>
      </w:pPr>
      <w:r>
        <w:rPr>
          <w:rFonts w:hint="eastAsia" w:asciiTheme="majorEastAsia" w:hAnsiTheme="majorEastAsia" w:eastAsiaTheme="majorEastAsia" w:cstheme="majorEastAsia"/>
          <w:sz w:val="24"/>
        </w:rPr>
        <w:tab/>
      </w:r>
      <w:r>
        <w:rPr>
          <w:rFonts w:hint="eastAsia" w:asciiTheme="majorEastAsia" w:hAnsiTheme="majorEastAsia" w:eastAsiaTheme="majorEastAsia" w:cstheme="majorEastAsia"/>
          <w:sz w:val="24"/>
        </w:rPr>
        <w:t>有效投标人的综合得分为技术分和商务（报价）分的总和，评标委员会根据综合得分高低顺序排列，综合得分前两名投标人依次作为该项目第一中标候选人和第二中标候选人向招标人推荐。得分相同的，按投标报价由低到高顺序排列；得分且投标报价相同的，按技术部分得分高的排序第一。</w:t>
      </w:r>
    </w:p>
    <w:p w14:paraId="73126684">
      <w:pPr>
        <w:spacing w:line="360" w:lineRule="auto"/>
      </w:pPr>
    </w:p>
    <w:p w14:paraId="6E6BF2FA">
      <w:r>
        <w:rPr>
          <w:rFonts w:hint="eastAsia" w:ascii="新宋体" w:hAnsi="新宋体" w:eastAsia="新宋体" w:cs="宋体"/>
          <w:b/>
          <w:bCs/>
          <w:kern w:val="0"/>
          <w:sz w:val="32"/>
          <w:szCs w:val="32"/>
        </w:rPr>
        <w:br w:type="page"/>
      </w:r>
    </w:p>
    <w:p w14:paraId="22D45BAC">
      <w:pPr>
        <w:rPr>
          <w:rFonts w:ascii="新宋体" w:hAnsi="新宋体" w:eastAsia="新宋体" w:cs="宋体"/>
          <w:b/>
          <w:bCs/>
          <w:kern w:val="0"/>
          <w:sz w:val="32"/>
          <w:szCs w:val="32"/>
        </w:rPr>
      </w:pPr>
    </w:p>
    <w:p w14:paraId="6185DE63">
      <w:pPr>
        <w:jc w:val="left"/>
        <w:rPr>
          <w:sz w:val="24"/>
        </w:rPr>
      </w:pPr>
      <w:r>
        <w:rPr>
          <w:rFonts w:hint="eastAsia"/>
          <w:sz w:val="24"/>
        </w:rPr>
        <w:t>附件一</w:t>
      </w:r>
    </w:p>
    <w:p w14:paraId="5ED3AB42">
      <w:pPr>
        <w:spacing w:line="460" w:lineRule="exact"/>
        <w:jc w:val="center"/>
        <w:outlineLvl w:val="3"/>
        <w:rPr>
          <w:rFonts w:ascii="宋体" w:hAnsi="宋体" w:cs="宋体"/>
          <w:bCs/>
          <w:szCs w:val="28"/>
          <w:lang w:val="zh-CN"/>
        </w:rPr>
      </w:pPr>
      <w:r>
        <w:rPr>
          <w:rFonts w:hint="eastAsia" w:ascii="宋体" w:hAnsi="宋体" w:cs="宋体"/>
          <w:b/>
          <w:bCs/>
          <w:sz w:val="28"/>
          <w:szCs w:val="28"/>
          <w:lang w:val="zh-CN"/>
        </w:rPr>
        <w:t>投标函</w:t>
      </w:r>
    </w:p>
    <w:p w14:paraId="2AA1F274">
      <w:pPr>
        <w:spacing w:line="460" w:lineRule="exact"/>
        <w:rPr>
          <w:rFonts w:ascii="宋体" w:hAnsi="宋体" w:cs="宋体"/>
          <w:sz w:val="22"/>
          <w:szCs w:val="22"/>
        </w:rPr>
      </w:pPr>
      <w:r>
        <w:rPr>
          <w:rFonts w:hint="eastAsia" w:ascii="宋体" w:hAnsi="宋体" w:cs="宋体"/>
          <w:sz w:val="22"/>
          <w:szCs w:val="22"/>
        </w:rPr>
        <w:t xml:space="preserve">             </w:t>
      </w:r>
    </w:p>
    <w:p w14:paraId="4D77AF9F">
      <w:pPr>
        <w:spacing w:line="460" w:lineRule="exact"/>
        <w:rPr>
          <w:rFonts w:ascii="新宋体" w:hAnsi="新宋体" w:eastAsia="新宋体" w:cs="新宋体"/>
          <w:sz w:val="22"/>
          <w:szCs w:val="22"/>
        </w:rPr>
      </w:pPr>
      <w:r>
        <w:rPr>
          <w:rFonts w:hint="eastAsia" w:ascii="新宋体" w:hAnsi="新宋体" w:eastAsia="新宋体" w:cs="新宋体"/>
          <w:sz w:val="22"/>
          <w:szCs w:val="22"/>
        </w:rPr>
        <w:t>致：温州市第七人民医院</w:t>
      </w:r>
    </w:p>
    <w:p w14:paraId="326ADF61">
      <w:pPr>
        <w:spacing w:line="460" w:lineRule="exact"/>
        <w:ind w:firstLine="539" w:firstLineChars="245"/>
        <w:rPr>
          <w:rFonts w:ascii="新宋体" w:hAnsi="新宋体" w:eastAsia="新宋体" w:cs="新宋体"/>
          <w:sz w:val="22"/>
          <w:szCs w:val="22"/>
        </w:rPr>
      </w:pPr>
      <w:r>
        <w:rPr>
          <w:rFonts w:hint="eastAsia" w:ascii="新宋体" w:hAnsi="新宋体" w:eastAsia="新宋体" w:cs="新宋体"/>
          <w:sz w:val="22"/>
          <w:szCs w:val="22"/>
        </w:rPr>
        <w:t>根据贵方为</w:t>
      </w:r>
      <w:r>
        <w:rPr>
          <w:rFonts w:hint="eastAsia" w:ascii="新宋体" w:hAnsi="新宋体" w:eastAsia="新宋体" w:cs="新宋体"/>
          <w:sz w:val="22"/>
          <w:szCs w:val="22"/>
          <w:u w:val="single"/>
        </w:rPr>
        <w:t xml:space="preserve">          </w:t>
      </w:r>
      <w:r>
        <w:rPr>
          <w:rFonts w:hint="eastAsia" w:ascii="新宋体" w:hAnsi="新宋体" w:eastAsia="新宋体" w:cs="新宋体"/>
          <w:sz w:val="22"/>
          <w:szCs w:val="22"/>
        </w:rPr>
        <w:t>项目的投标邀请，我方</w:t>
      </w:r>
      <w:r>
        <w:rPr>
          <w:rFonts w:hint="eastAsia" w:ascii="新宋体" w:hAnsi="新宋体" w:eastAsia="新宋体" w:cs="新宋体"/>
          <w:sz w:val="22"/>
          <w:szCs w:val="22"/>
          <w:u w:val="single"/>
        </w:rPr>
        <w:t xml:space="preserve">      　</w:t>
      </w:r>
      <w:r>
        <w:rPr>
          <w:rFonts w:hint="eastAsia" w:ascii="新宋体" w:hAnsi="新宋体" w:eastAsia="新宋体" w:cs="新宋体"/>
          <w:sz w:val="22"/>
          <w:szCs w:val="22"/>
        </w:rPr>
        <w:t>（投标人名称）作为投标人正式授权</w:t>
      </w:r>
      <w:r>
        <w:rPr>
          <w:rFonts w:hint="eastAsia" w:ascii="新宋体" w:hAnsi="新宋体" w:eastAsia="新宋体" w:cs="新宋体"/>
          <w:sz w:val="22"/>
          <w:szCs w:val="22"/>
          <w:u w:val="single"/>
        </w:rPr>
        <w:t xml:space="preserve">　           </w:t>
      </w:r>
      <w:r>
        <w:rPr>
          <w:rFonts w:hint="eastAsia" w:ascii="新宋体" w:hAnsi="新宋体" w:eastAsia="新宋体" w:cs="新宋体"/>
          <w:sz w:val="22"/>
          <w:szCs w:val="22"/>
        </w:rPr>
        <w:t>（授权代表全名，职务）代表我方处理有关本投标的一切事宜。</w:t>
      </w:r>
    </w:p>
    <w:p w14:paraId="47587200">
      <w:pPr>
        <w:spacing w:line="460" w:lineRule="exact"/>
        <w:ind w:firstLine="539" w:firstLineChars="245"/>
        <w:rPr>
          <w:rFonts w:ascii="新宋体" w:hAnsi="新宋体" w:eastAsia="新宋体" w:cs="新宋体"/>
          <w:sz w:val="22"/>
          <w:szCs w:val="22"/>
        </w:rPr>
      </w:pPr>
      <w:r>
        <w:rPr>
          <w:rFonts w:hint="eastAsia" w:ascii="新宋体" w:hAnsi="新宋体" w:eastAsia="新宋体" w:cs="新宋体"/>
          <w:sz w:val="22"/>
          <w:szCs w:val="22"/>
        </w:rPr>
        <w:t>在此提交的投标文件中，包括如下内容，并已分别单独密封装袋：</w:t>
      </w:r>
    </w:p>
    <w:p w14:paraId="36268862">
      <w:pPr>
        <w:spacing w:line="460" w:lineRule="exact"/>
        <w:ind w:firstLine="539" w:firstLineChars="245"/>
        <w:rPr>
          <w:rFonts w:ascii="新宋体" w:hAnsi="新宋体" w:eastAsia="新宋体" w:cs="新宋体"/>
          <w:sz w:val="22"/>
          <w:szCs w:val="22"/>
        </w:rPr>
      </w:pPr>
      <w:r>
        <w:rPr>
          <w:rFonts w:hint="eastAsia" w:ascii="新宋体" w:hAnsi="新宋体" w:eastAsia="新宋体" w:cs="新宋体"/>
          <w:sz w:val="22"/>
          <w:szCs w:val="22"/>
        </w:rPr>
        <w:t>（—）按“招标内容及要求”要求编制的投标文件技术标【正本一份，副本三份】；</w:t>
      </w:r>
    </w:p>
    <w:p w14:paraId="505F45F0">
      <w:pPr>
        <w:spacing w:line="460" w:lineRule="exact"/>
        <w:ind w:firstLine="539" w:firstLineChars="245"/>
        <w:rPr>
          <w:rFonts w:ascii="新宋体" w:hAnsi="新宋体" w:eastAsia="新宋体" w:cs="新宋体"/>
          <w:sz w:val="22"/>
          <w:szCs w:val="22"/>
        </w:rPr>
      </w:pPr>
      <w:r>
        <w:rPr>
          <w:rFonts w:hint="eastAsia" w:ascii="新宋体" w:hAnsi="新宋体" w:eastAsia="新宋体" w:cs="新宋体"/>
          <w:sz w:val="22"/>
          <w:szCs w:val="22"/>
        </w:rPr>
        <w:t>（二）按“招标内容及要求”要求编制的投标文件商务标【正本一份，副本三份】</w:t>
      </w:r>
    </w:p>
    <w:p w14:paraId="0AD92E23">
      <w:pPr>
        <w:spacing w:line="460" w:lineRule="exact"/>
        <w:ind w:firstLine="539" w:firstLineChars="245"/>
        <w:rPr>
          <w:rFonts w:ascii="新宋体" w:hAnsi="新宋体" w:eastAsia="新宋体" w:cs="新宋体"/>
          <w:sz w:val="22"/>
          <w:szCs w:val="22"/>
        </w:rPr>
      </w:pPr>
      <w:r>
        <w:rPr>
          <w:rFonts w:hint="eastAsia" w:ascii="新宋体" w:hAnsi="新宋体" w:eastAsia="新宋体" w:cs="新宋体"/>
          <w:sz w:val="22"/>
          <w:szCs w:val="22"/>
        </w:rPr>
        <w:t>我方己完全明白招标文件的所有条款要求，并重申以下几点：</w:t>
      </w:r>
    </w:p>
    <w:p w14:paraId="6A063178">
      <w:pPr>
        <w:spacing w:line="460" w:lineRule="exact"/>
        <w:ind w:firstLine="539" w:firstLineChars="245"/>
        <w:rPr>
          <w:rFonts w:ascii="新宋体" w:hAnsi="新宋体" w:eastAsia="新宋体" w:cs="新宋体"/>
          <w:sz w:val="22"/>
          <w:szCs w:val="22"/>
        </w:rPr>
      </w:pPr>
      <w:r>
        <w:rPr>
          <w:rFonts w:hint="eastAsia" w:ascii="新宋体" w:hAnsi="新宋体" w:eastAsia="新宋体" w:cs="新宋体"/>
          <w:sz w:val="22"/>
          <w:szCs w:val="22"/>
        </w:rPr>
        <w:t>（一）本投标文件的有效期自投标截止日起</w:t>
      </w:r>
      <w:r>
        <w:rPr>
          <w:rFonts w:hint="eastAsia" w:ascii="新宋体" w:hAnsi="新宋体" w:eastAsia="新宋体" w:cs="新宋体"/>
          <w:b/>
          <w:sz w:val="22"/>
          <w:szCs w:val="22"/>
        </w:rPr>
        <w:t>120天内</w:t>
      </w:r>
      <w:r>
        <w:rPr>
          <w:rFonts w:hint="eastAsia" w:ascii="新宋体" w:hAnsi="新宋体" w:eastAsia="新宋体" w:cs="新宋体"/>
          <w:sz w:val="22"/>
          <w:szCs w:val="22"/>
        </w:rPr>
        <w:t>有效，如中标，有效期将延至合同终止日为止；</w:t>
      </w:r>
    </w:p>
    <w:p w14:paraId="7F253FF5">
      <w:pPr>
        <w:spacing w:line="460" w:lineRule="exact"/>
        <w:ind w:firstLine="539" w:firstLineChars="245"/>
        <w:rPr>
          <w:rFonts w:ascii="新宋体" w:hAnsi="新宋体" w:eastAsia="新宋体" w:cs="新宋体"/>
          <w:sz w:val="22"/>
          <w:szCs w:val="22"/>
        </w:rPr>
      </w:pPr>
      <w:r>
        <w:rPr>
          <w:rFonts w:hint="eastAsia" w:ascii="新宋体" w:hAnsi="新宋体" w:eastAsia="新宋体" w:cs="新宋体"/>
          <w:sz w:val="22"/>
          <w:szCs w:val="22"/>
        </w:rPr>
        <w:t>（二）我方已详细研究了招标文件的所有内容包括修改书（如有）和所有已提供的参考资料以及有关附件，我方完全理解并同意放弃在此方面提出含糊意见或误解的一切权力；</w:t>
      </w:r>
    </w:p>
    <w:p w14:paraId="54CD3AB2">
      <w:pPr>
        <w:spacing w:line="460" w:lineRule="exact"/>
        <w:ind w:firstLine="539" w:firstLineChars="245"/>
        <w:rPr>
          <w:rFonts w:ascii="新宋体" w:hAnsi="新宋体" w:eastAsia="新宋体" w:cs="新宋体"/>
          <w:sz w:val="22"/>
          <w:szCs w:val="22"/>
        </w:rPr>
      </w:pPr>
      <w:r>
        <w:rPr>
          <w:rFonts w:hint="eastAsia" w:ascii="新宋体" w:hAnsi="新宋体" w:eastAsia="新宋体" w:cs="新宋体"/>
          <w:sz w:val="22"/>
          <w:szCs w:val="22"/>
        </w:rPr>
        <w:t>（三）我方同意提供按照贵方可能要求的与投标有关的一切数据或资料；</w:t>
      </w:r>
    </w:p>
    <w:p w14:paraId="7D291FFA">
      <w:pPr>
        <w:spacing w:line="460" w:lineRule="exact"/>
        <w:ind w:firstLine="539" w:firstLineChars="245"/>
        <w:rPr>
          <w:rFonts w:ascii="新宋体" w:hAnsi="新宋体" w:eastAsia="新宋体" w:cs="新宋体"/>
          <w:sz w:val="22"/>
          <w:szCs w:val="22"/>
        </w:rPr>
      </w:pPr>
      <w:r>
        <w:rPr>
          <w:rFonts w:hint="eastAsia" w:ascii="新宋体" w:hAnsi="新宋体" w:eastAsia="新宋体" w:cs="新宋体"/>
          <w:sz w:val="22"/>
          <w:szCs w:val="22"/>
        </w:rPr>
        <w:t>（四）我方理解贵方不一定接受最低报价。</w:t>
      </w:r>
    </w:p>
    <w:p w14:paraId="707D538F">
      <w:pPr>
        <w:spacing w:line="460" w:lineRule="exact"/>
        <w:ind w:firstLine="539" w:firstLineChars="245"/>
        <w:rPr>
          <w:rFonts w:ascii="新宋体" w:hAnsi="新宋体" w:eastAsia="新宋体" w:cs="新宋体"/>
          <w:sz w:val="22"/>
          <w:szCs w:val="22"/>
        </w:rPr>
      </w:pPr>
      <w:r>
        <w:rPr>
          <w:rFonts w:hint="eastAsia" w:ascii="新宋体" w:hAnsi="新宋体" w:eastAsia="新宋体" w:cs="新宋体"/>
          <w:sz w:val="22"/>
          <w:szCs w:val="22"/>
        </w:rPr>
        <w:t>（五）我方如果中标，将保证履行招标文件以及招标文件修改书（如有）中的全部责任和义务，按质、按量、按期完成《合同书》中的全部任务。</w:t>
      </w:r>
    </w:p>
    <w:p w14:paraId="7AFCE9E7">
      <w:pPr>
        <w:spacing w:line="460" w:lineRule="exact"/>
        <w:ind w:firstLine="539" w:firstLineChars="245"/>
        <w:rPr>
          <w:rFonts w:ascii="新宋体" w:hAnsi="新宋体" w:eastAsia="新宋体" w:cs="新宋体"/>
          <w:sz w:val="22"/>
          <w:szCs w:val="22"/>
        </w:rPr>
      </w:pPr>
      <w:r>
        <w:rPr>
          <w:rFonts w:hint="eastAsia" w:ascii="新宋体" w:hAnsi="新宋体" w:eastAsia="新宋体" w:cs="新宋体"/>
          <w:sz w:val="22"/>
          <w:szCs w:val="22"/>
        </w:rPr>
        <w:t>（六）所有与本投标有关的函件请发往下列地址：</w:t>
      </w:r>
    </w:p>
    <w:p w14:paraId="30D82067">
      <w:pPr>
        <w:spacing w:line="460" w:lineRule="exact"/>
        <w:ind w:firstLine="539" w:firstLineChars="245"/>
        <w:rPr>
          <w:rFonts w:ascii="新宋体" w:hAnsi="新宋体" w:eastAsia="新宋体" w:cs="新宋体"/>
          <w:sz w:val="22"/>
          <w:szCs w:val="22"/>
        </w:rPr>
      </w:pPr>
      <w:r>
        <w:rPr>
          <w:rFonts w:hint="eastAsia" w:ascii="新宋体" w:hAnsi="新宋体" w:eastAsia="新宋体" w:cs="新宋体"/>
          <w:sz w:val="22"/>
          <w:szCs w:val="22"/>
        </w:rPr>
        <w:t>地址</w:t>
      </w:r>
      <w:r>
        <w:rPr>
          <w:rFonts w:hint="eastAsia" w:ascii="新宋体" w:hAnsi="新宋体" w:eastAsia="新宋体" w:cs="新宋体"/>
          <w:sz w:val="22"/>
          <w:szCs w:val="22"/>
          <w:u w:val="single"/>
        </w:rPr>
        <w:t xml:space="preserve">                           </w:t>
      </w:r>
    </w:p>
    <w:p w14:paraId="0344B9C3">
      <w:pPr>
        <w:spacing w:line="460" w:lineRule="exact"/>
        <w:ind w:firstLine="539" w:firstLineChars="245"/>
        <w:rPr>
          <w:rFonts w:ascii="新宋体" w:hAnsi="新宋体" w:eastAsia="新宋体" w:cs="新宋体"/>
          <w:sz w:val="22"/>
          <w:szCs w:val="22"/>
        </w:rPr>
      </w:pPr>
      <w:r>
        <w:rPr>
          <w:rFonts w:hint="eastAsia" w:ascii="新宋体" w:hAnsi="新宋体" w:eastAsia="新宋体" w:cs="新宋体"/>
          <w:sz w:val="22"/>
          <w:szCs w:val="22"/>
        </w:rPr>
        <w:t>电话</w:t>
      </w:r>
      <w:r>
        <w:rPr>
          <w:rFonts w:hint="eastAsia" w:ascii="新宋体" w:hAnsi="新宋体" w:eastAsia="新宋体" w:cs="新宋体"/>
          <w:sz w:val="22"/>
          <w:szCs w:val="22"/>
          <w:u w:val="single"/>
        </w:rPr>
        <w:t xml:space="preserve">                           </w:t>
      </w:r>
    </w:p>
    <w:p w14:paraId="6732036B">
      <w:pPr>
        <w:spacing w:line="460" w:lineRule="exact"/>
        <w:ind w:firstLine="539" w:firstLineChars="245"/>
        <w:rPr>
          <w:rFonts w:ascii="新宋体" w:hAnsi="新宋体" w:eastAsia="新宋体" w:cs="新宋体"/>
          <w:sz w:val="22"/>
          <w:szCs w:val="22"/>
        </w:rPr>
      </w:pPr>
      <w:r>
        <w:rPr>
          <w:rFonts w:hint="eastAsia" w:ascii="新宋体" w:hAnsi="新宋体" w:eastAsia="新宋体" w:cs="新宋体"/>
          <w:sz w:val="22"/>
          <w:szCs w:val="22"/>
        </w:rPr>
        <w:t>传真</w:t>
      </w:r>
      <w:r>
        <w:rPr>
          <w:rFonts w:hint="eastAsia" w:ascii="新宋体" w:hAnsi="新宋体" w:eastAsia="新宋体" w:cs="新宋体"/>
          <w:sz w:val="22"/>
          <w:szCs w:val="22"/>
          <w:u w:val="single"/>
        </w:rPr>
        <w:t xml:space="preserve">                           </w:t>
      </w:r>
    </w:p>
    <w:p w14:paraId="193AAAC2">
      <w:pPr>
        <w:spacing w:line="460" w:lineRule="exact"/>
        <w:ind w:firstLine="539" w:firstLineChars="245"/>
        <w:rPr>
          <w:rFonts w:ascii="新宋体" w:hAnsi="新宋体" w:eastAsia="新宋体" w:cs="新宋体"/>
          <w:sz w:val="22"/>
          <w:szCs w:val="22"/>
        </w:rPr>
      </w:pPr>
      <w:r>
        <w:rPr>
          <w:rFonts w:hint="eastAsia" w:ascii="新宋体" w:hAnsi="新宋体" w:eastAsia="新宋体" w:cs="新宋体"/>
          <w:sz w:val="22"/>
          <w:szCs w:val="22"/>
        </w:rPr>
        <w:t>电子邮件</w:t>
      </w:r>
      <w:r>
        <w:rPr>
          <w:rFonts w:hint="eastAsia" w:ascii="新宋体" w:hAnsi="新宋体" w:eastAsia="新宋体" w:cs="新宋体"/>
          <w:sz w:val="22"/>
          <w:szCs w:val="22"/>
          <w:u w:val="single"/>
        </w:rPr>
        <w:t xml:space="preserve">                       </w:t>
      </w:r>
    </w:p>
    <w:p w14:paraId="346B6189">
      <w:pPr>
        <w:spacing w:line="420" w:lineRule="exact"/>
        <w:ind w:firstLine="435"/>
        <w:rPr>
          <w:rFonts w:ascii="新宋体" w:hAnsi="新宋体" w:eastAsia="新宋体" w:cs="新宋体"/>
          <w:sz w:val="22"/>
          <w:szCs w:val="22"/>
        </w:rPr>
      </w:pPr>
    </w:p>
    <w:p w14:paraId="4E2723AD">
      <w:pPr>
        <w:spacing w:line="420" w:lineRule="exact"/>
        <w:ind w:firstLine="435"/>
        <w:rPr>
          <w:rFonts w:ascii="新宋体" w:hAnsi="新宋体" w:eastAsia="新宋体" w:cs="新宋体"/>
          <w:sz w:val="22"/>
          <w:szCs w:val="22"/>
        </w:rPr>
      </w:pPr>
      <w:r>
        <w:rPr>
          <w:rFonts w:hint="eastAsia" w:ascii="新宋体" w:hAnsi="新宋体" w:eastAsia="新宋体" w:cs="新宋体"/>
          <w:sz w:val="22"/>
          <w:szCs w:val="22"/>
        </w:rPr>
        <w:t xml:space="preserve">                                   投标人名称（公章）</w:t>
      </w:r>
      <w:r>
        <w:rPr>
          <w:rFonts w:hint="eastAsia" w:ascii="新宋体" w:hAnsi="新宋体" w:eastAsia="新宋体" w:cs="新宋体"/>
          <w:sz w:val="22"/>
          <w:szCs w:val="22"/>
          <w:u w:val="single"/>
        </w:rPr>
        <w:t xml:space="preserve">                </w:t>
      </w:r>
    </w:p>
    <w:p w14:paraId="10E99368">
      <w:pPr>
        <w:spacing w:line="420" w:lineRule="exact"/>
        <w:ind w:firstLine="435"/>
        <w:rPr>
          <w:rFonts w:ascii="新宋体" w:hAnsi="新宋体" w:eastAsia="新宋体" w:cs="新宋体"/>
          <w:sz w:val="22"/>
          <w:szCs w:val="22"/>
        </w:rPr>
      </w:pPr>
      <w:r>
        <w:rPr>
          <w:rFonts w:hint="eastAsia" w:ascii="新宋体" w:hAnsi="新宋体" w:eastAsia="新宋体" w:cs="新宋体"/>
          <w:sz w:val="22"/>
          <w:szCs w:val="22"/>
        </w:rPr>
        <w:t xml:space="preserve">                                   投标人代表</w:t>
      </w:r>
      <w:r>
        <w:rPr>
          <w:rFonts w:hint="eastAsia" w:ascii="新宋体" w:hAnsi="新宋体" w:eastAsia="新宋体" w:cs="新宋体"/>
          <w:sz w:val="22"/>
          <w:szCs w:val="22"/>
          <w:u w:val="single"/>
        </w:rPr>
        <w:t xml:space="preserve">                        </w:t>
      </w:r>
    </w:p>
    <w:p w14:paraId="4D1DD5F1">
      <w:pPr>
        <w:spacing w:line="460" w:lineRule="exact"/>
        <w:ind w:firstLine="435"/>
        <w:rPr>
          <w:rFonts w:ascii="新宋体" w:hAnsi="新宋体" w:eastAsia="新宋体" w:cs="新宋体"/>
          <w:sz w:val="22"/>
          <w:szCs w:val="22"/>
          <w:u w:val="single"/>
        </w:rPr>
      </w:pPr>
      <w:r>
        <w:rPr>
          <w:rFonts w:hint="eastAsia" w:ascii="新宋体" w:hAnsi="新宋体" w:eastAsia="新宋体" w:cs="新宋体"/>
          <w:sz w:val="22"/>
          <w:szCs w:val="22"/>
        </w:rPr>
        <w:t xml:space="preserve">                                   日   期</w:t>
      </w:r>
      <w:r>
        <w:rPr>
          <w:rFonts w:hint="eastAsia" w:ascii="新宋体" w:hAnsi="新宋体" w:eastAsia="新宋体" w:cs="新宋体"/>
          <w:sz w:val="22"/>
          <w:szCs w:val="22"/>
          <w:u w:val="single"/>
        </w:rPr>
        <w:t xml:space="preserve">                           </w:t>
      </w:r>
    </w:p>
    <w:p w14:paraId="216B2244">
      <w:pPr>
        <w:spacing w:line="460" w:lineRule="exact"/>
        <w:ind w:firstLine="435"/>
        <w:rPr>
          <w:rFonts w:ascii="新宋体" w:hAnsi="新宋体" w:eastAsia="新宋体" w:cs="新宋体"/>
          <w:sz w:val="22"/>
          <w:szCs w:val="22"/>
          <w:u w:val="single"/>
        </w:rPr>
      </w:pPr>
    </w:p>
    <w:p w14:paraId="5128EF6A">
      <w:pPr>
        <w:spacing w:line="460" w:lineRule="exact"/>
        <w:ind w:firstLine="541" w:firstLineChars="245"/>
        <w:outlineLvl w:val="1"/>
        <w:rPr>
          <w:rFonts w:ascii="新宋体" w:hAnsi="新宋体" w:eastAsia="新宋体"/>
          <w:b/>
          <w:bCs/>
          <w:sz w:val="22"/>
          <w:szCs w:val="22"/>
        </w:rPr>
      </w:pPr>
    </w:p>
    <w:p w14:paraId="454A3B25">
      <w:pPr>
        <w:spacing w:line="460" w:lineRule="exact"/>
        <w:ind w:firstLine="541" w:firstLineChars="245"/>
        <w:outlineLvl w:val="1"/>
        <w:rPr>
          <w:rFonts w:ascii="新宋体" w:hAnsi="新宋体" w:eastAsia="新宋体"/>
          <w:b/>
          <w:bCs/>
          <w:sz w:val="22"/>
          <w:szCs w:val="22"/>
        </w:rPr>
      </w:pPr>
    </w:p>
    <w:p w14:paraId="5300FE25">
      <w:pPr>
        <w:spacing w:line="460" w:lineRule="exact"/>
        <w:ind w:firstLine="541" w:firstLineChars="245"/>
        <w:outlineLvl w:val="1"/>
        <w:rPr>
          <w:rFonts w:ascii="新宋体" w:hAnsi="新宋体" w:eastAsia="新宋体"/>
          <w:b/>
          <w:bCs/>
          <w:sz w:val="22"/>
          <w:szCs w:val="22"/>
        </w:rPr>
      </w:pPr>
    </w:p>
    <w:p w14:paraId="23558644">
      <w:pPr>
        <w:rPr>
          <w:rFonts w:ascii="新宋体" w:hAnsi="新宋体" w:eastAsia="新宋体"/>
          <w:b/>
          <w:bCs/>
          <w:sz w:val="22"/>
          <w:szCs w:val="22"/>
        </w:rPr>
      </w:pPr>
    </w:p>
    <w:p w14:paraId="72AF9F77">
      <w:pPr>
        <w:widowControl/>
        <w:spacing w:line="360" w:lineRule="auto"/>
        <w:jc w:val="left"/>
        <w:rPr>
          <w:sz w:val="24"/>
        </w:rPr>
      </w:pPr>
      <w:r>
        <w:rPr>
          <w:rFonts w:hint="eastAsia"/>
          <w:sz w:val="24"/>
        </w:rPr>
        <w:t>附件二：</w:t>
      </w:r>
    </w:p>
    <w:p w14:paraId="369AB066">
      <w:pPr>
        <w:widowControl/>
        <w:spacing w:line="360" w:lineRule="auto"/>
        <w:jc w:val="center"/>
        <w:rPr>
          <w:b/>
          <w:sz w:val="36"/>
          <w:szCs w:val="36"/>
        </w:rPr>
      </w:pPr>
      <w:r>
        <w:rPr>
          <w:rFonts w:hint="eastAsia"/>
          <w:b/>
          <w:sz w:val="36"/>
          <w:szCs w:val="36"/>
        </w:rPr>
        <w:t>法定代表人授权书</w:t>
      </w:r>
    </w:p>
    <w:p w14:paraId="7C88FA51">
      <w:pPr>
        <w:spacing w:line="360" w:lineRule="auto"/>
        <w:rPr>
          <w:rFonts w:ascii="新宋体" w:hAnsi="新宋体" w:eastAsia="新宋体"/>
          <w:sz w:val="24"/>
        </w:rPr>
      </w:pPr>
      <w:r>
        <w:rPr>
          <w:rFonts w:hint="eastAsia" w:ascii="新宋体" w:hAnsi="新宋体" w:eastAsia="新宋体"/>
          <w:sz w:val="24"/>
        </w:rPr>
        <w:t>温州市第七人民医院：</w:t>
      </w:r>
    </w:p>
    <w:p w14:paraId="6B6C9F46">
      <w:pPr>
        <w:spacing w:line="360" w:lineRule="auto"/>
        <w:ind w:firstLine="600" w:firstLineChars="250"/>
        <w:rPr>
          <w:rFonts w:ascii="新宋体" w:hAnsi="新宋体" w:eastAsia="新宋体"/>
          <w:sz w:val="24"/>
        </w:rPr>
      </w:pPr>
      <w:r>
        <w:rPr>
          <w:rFonts w:hint="eastAsia" w:ascii="新宋体" w:hAnsi="新宋体" w:eastAsia="新宋体"/>
          <w:sz w:val="24"/>
          <w:u w:val="single"/>
        </w:rPr>
        <w:t xml:space="preserve">             </w:t>
      </w:r>
      <w:r>
        <w:rPr>
          <w:rFonts w:hint="eastAsia" w:ascii="新宋体" w:hAnsi="新宋体" w:eastAsia="新宋体"/>
          <w:sz w:val="24"/>
        </w:rPr>
        <w:t>（投标人全称）法定代表人</w:t>
      </w:r>
      <w:r>
        <w:rPr>
          <w:rFonts w:hint="eastAsia" w:ascii="新宋体" w:hAnsi="新宋体" w:eastAsia="新宋体"/>
          <w:sz w:val="24"/>
          <w:u w:val="single"/>
        </w:rPr>
        <w:t xml:space="preserve">          （</w:t>
      </w:r>
      <w:r>
        <w:rPr>
          <w:rFonts w:hint="eastAsia" w:ascii="新宋体" w:hAnsi="新宋体" w:eastAsia="新宋体"/>
          <w:sz w:val="24"/>
        </w:rPr>
        <w:t>法定代表人姓名），身份证号：</w:t>
      </w:r>
      <w:r>
        <w:rPr>
          <w:rFonts w:hint="eastAsia" w:ascii="新宋体" w:hAnsi="新宋体" w:eastAsia="新宋体"/>
          <w:sz w:val="24"/>
          <w:u w:val="single"/>
        </w:rPr>
        <w:t xml:space="preserve">           </w:t>
      </w:r>
      <w:r>
        <w:rPr>
          <w:rFonts w:hint="eastAsia" w:ascii="新宋体" w:hAnsi="新宋体" w:eastAsia="新宋体"/>
          <w:sz w:val="24"/>
        </w:rPr>
        <w:t xml:space="preserve"> 授权</w:t>
      </w:r>
      <w:r>
        <w:rPr>
          <w:rFonts w:hint="eastAsia" w:ascii="新宋体" w:hAnsi="新宋体" w:eastAsia="新宋体"/>
          <w:sz w:val="24"/>
          <w:u w:val="single"/>
        </w:rPr>
        <w:t xml:space="preserve">         </w:t>
      </w:r>
      <w:r>
        <w:rPr>
          <w:rFonts w:hint="eastAsia" w:ascii="新宋体" w:hAnsi="新宋体" w:eastAsia="新宋体"/>
          <w:sz w:val="24"/>
        </w:rPr>
        <w:t>（全权代表姓名），身份证号：</w:t>
      </w:r>
      <w:r>
        <w:rPr>
          <w:rFonts w:hint="eastAsia" w:ascii="新宋体" w:hAnsi="新宋体" w:eastAsia="新宋体"/>
          <w:sz w:val="24"/>
          <w:u w:val="single"/>
        </w:rPr>
        <w:t xml:space="preserve">        </w:t>
      </w:r>
      <w:r>
        <w:rPr>
          <w:rFonts w:hint="eastAsia" w:ascii="新宋体" w:hAnsi="新宋体" w:eastAsia="新宋体"/>
          <w:sz w:val="24"/>
        </w:rPr>
        <w:t>为全权代表，参加贵单位组织的（</w:t>
      </w:r>
      <w:r>
        <w:rPr>
          <w:rFonts w:hint="eastAsia" w:ascii="新宋体" w:hAnsi="新宋体" w:eastAsia="新宋体"/>
          <w:sz w:val="24"/>
          <w:u w:val="single"/>
        </w:rPr>
        <w:t xml:space="preserve">                    </w:t>
      </w:r>
      <w:r>
        <w:rPr>
          <w:rFonts w:hint="eastAsia" w:ascii="新宋体" w:hAnsi="新宋体" w:eastAsia="新宋体"/>
          <w:sz w:val="24"/>
        </w:rPr>
        <w:t>项目名称）的比选采购活动，全权代表我方处理比选采购活动中的一切事宜。</w:t>
      </w:r>
    </w:p>
    <w:p w14:paraId="004C8112">
      <w:pPr>
        <w:spacing w:line="360" w:lineRule="auto"/>
        <w:ind w:firstLine="600" w:firstLineChars="250"/>
        <w:rPr>
          <w:rFonts w:ascii="新宋体" w:hAnsi="新宋体" w:eastAsia="新宋体"/>
          <w:sz w:val="24"/>
        </w:rPr>
      </w:pPr>
      <w:r>
        <w:rPr>
          <w:rFonts w:hint="eastAsia" w:ascii="新宋体" w:hAnsi="新宋体" w:eastAsia="新宋体"/>
          <w:sz w:val="24"/>
        </w:rPr>
        <w:t xml:space="preserve"> </w:t>
      </w:r>
    </w:p>
    <w:p w14:paraId="33D0BA8C">
      <w:pPr>
        <w:spacing w:line="360" w:lineRule="auto"/>
        <w:rPr>
          <w:rFonts w:ascii="新宋体" w:hAnsi="新宋体" w:eastAsia="新宋体"/>
          <w:sz w:val="24"/>
        </w:rPr>
      </w:pPr>
      <w:r>
        <w:rPr>
          <w:rFonts w:hint="eastAsia" w:ascii="新宋体" w:hAnsi="新宋体" w:eastAsia="新宋体"/>
          <w:sz w:val="24"/>
        </w:rPr>
        <w:t>法定代表人(签字或盖章)：</w:t>
      </w:r>
    </w:p>
    <w:p w14:paraId="773BC209">
      <w:pPr>
        <w:spacing w:line="360" w:lineRule="auto"/>
        <w:rPr>
          <w:rFonts w:ascii="新宋体" w:hAnsi="新宋体" w:eastAsia="新宋体"/>
          <w:sz w:val="24"/>
        </w:rPr>
      </w:pPr>
      <w:r>
        <w:rPr>
          <w:rFonts w:hint="eastAsia" w:ascii="新宋体" w:hAnsi="新宋体" w:eastAsia="新宋体"/>
          <w:sz w:val="24"/>
        </w:rPr>
        <w:t>投标人全称（公章）：</w:t>
      </w:r>
    </w:p>
    <w:p w14:paraId="01D81252">
      <w:pPr>
        <w:widowControl/>
        <w:spacing w:line="360" w:lineRule="auto"/>
        <w:jc w:val="left"/>
        <w:rPr>
          <w:sz w:val="24"/>
        </w:rPr>
      </w:pPr>
      <w:r>
        <w:rPr>
          <w:rFonts w:hint="eastAsia" w:ascii="新宋体" w:hAnsi="新宋体" w:eastAsia="新宋体"/>
          <w:sz w:val="24"/>
        </w:rPr>
        <w:t>日   期：</w:t>
      </w:r>
    </w:p>
    <w:p w14:paraId="4A3177FE">
      <w:pPr>
        <w:spacing w:line="360" w:lineRule="auto"/>
        <w:rPr>
          <w:rFonts w:ascii="新宋体" w:hAnsi="新宋体" w:eastAsia="新宋体"/>
          <w:sz w:val="24"/>
        </w:rPr>
      </w:pPr>
    </w:p>
    <w:p w14:paraId="27CEA21A">
      <w:pPr>
        <w:spacing w:line="360" w:lineRule="auto"/>
        <w:rPr>
          <w:rFonts w:ascii="新宋体" w:hAnsi="新宋体" w:eastAsia="新宋体"/>
          <w:sz w:val="24"/>
        </w:rPr>
      </w:pPr>
      <w:r>
        <w:rPr>
          <w:rFonts w:hint="eastAsia" w:ascii="新宋体" w:hAnsi="新宋体" w:eastAsia="新宋体"/>
          <w:sz w:val="24"/>
        </w:rPr>
        <w:t>法定代表人身份证复印件或扫描件（正反面）：</w:t>
      </w:r>
    </w:p>
    <w:p w14:paraId="5A7741B2">
      <w:pPr>
        <w:spacing w:line="360" w:lineRule="auto"/>
        <w:rPr>
          <w:rFonts w:ascii="新宋体" w:hAnsi="新宋体" w:eastAsia="新宋体"/>
          <w:sz w:val="24"/>
        </w:rPr>
      </w:pPr>
    </w:p>
    <w:p w14:paraId="27118B49">
      <w:pPr>
        <w:spacing w:line="360" w:lineRule="auto"/>
        <w:rPr>
          <w:rFonts w:ascii="新宋体" w:hAnsi="新宋体" w:eastAsia="新宋体"/>
          <w:sz w:val="24"/>
        </w:rPr>
      </w:pPr>
    </w:p>
    <w:p w14:paraId="5790E4F1">
      <w:pPr>
        <w:spacing w:line="360" w:lineRule="auto"/>
        <w:rPr>
          <w:rFonts w:ascii="新宋体" w:hAnsi="新宋体" w:eastAsia="新宋体"/>
          <w:sz w:val="24"/>
        </w:rPr>
      </w:pPr>
    </w:p>
    <w:p w14:paraId="2CA9F899">
      <w:pPr>
        <w:spacing w:line="360" w:lineRule="auto"/>
        <w:rPr>
          <w:rFonts w:ascii="新宋体" w:hAnsi="新宋体" w:eastAsia="新宋体"/>
          <w:sz w:val="24"/>
        </w:rPr>
      </w:pPr>
    </w:p>
    <w:p w14:paraId="46B7144A">
      <w:pPr>
        <w:spacing w:line="360" w:lineRule="auto"/>
        <w:rPr>
          <w:rFonts w:ascii="新宋体" w:hAnsi="新宋体" w:eastAsia="新宋体"/>
          <w:sz w:val="24"/>
        </w:rPr>
      </w:pPr>
    </w:p>
    <w:p w14:paraId="677A725C">
      <w:pPr>
        <w:spacing w:line="360" w:lineRule="auto"/>
        <w:rPr>
          <w:rFonts w:ascii="新宋体" w:hAnsi="新宋体" w:eastAsia="新宋体"/>
          <w:sz w:val="24"/>
        </w:rPr>
      </w:pPr>
    </w:p>
    <w:p w14:paraId="57F18827">
      <w:pPr>
        <w:spacing w:line="360" w:lineRule="auto"/>
        <w:rPr>
          <w:rFonts w:ascii="新宋体" w:hAnsi="新宋体" w:eastAsia="新宋体"/>
          <w:sz w:val="24"/>
        </w:rPr>
      </w:pPr>
    </w:p>
    <w:p w14:paraId="6971194A">
      <w:pPr>
        <w:spacing w:line="360" w:lineRule="auto"/>
        <w:rPr>
          <w:sz w:val="24"/>
        </w:rPr>
      </w:pPr>
      <w:r>
        <w:rPr>
          <w:rFonts w:hint="eastAsia" w:ascii="新宋体" w:hAnsi="新宋体" w:eastAsia="新宋体"/>
          <w:sz w:val="24"/>
        </w:rPr>
        <w:t>授权代表身份证复印件或扫描件（正反面）：</w:t>
      </w:r>
    </w:p>
    <w:p w14:paraId="214BF4E9">
      <w:pPr>
        <w:widowControl/>
        <w:spacing w:line="360" w:lineRule="auto"/>
        <w:jc w:val="left"/>
        <w:rPr>
          <w:sz w:val="24"/>
        </w:rPr>
      </w:pPr>
    </w:p>
    <w:p w14:paraId="53A5B5AD">
      <w:pPr>
        <w:widowControl/>
        <w:spacing w:line="360" w:lineRule="auto"/>
        <w:jc w:val="left"/>
        <w:rPr>
          <w:sz w:val="24"/>
        </w:rPr>
      </w:pPr>
    </w:p>
    <w:p w14:paraId="7C545947">
      <w:pPr>
        <w:widowControl/>
        <w:spacing w:line="360" w:lineRule="auto"/>
        <w:jc w:val="left"/>
        <w:rPr>
          <w:sz w:val="24"/>
        </w:rPr>
      </w:pPr>
    </w:p>
    <w:p w14:paraId="63A267B8">
      <w:pPr>
        <w:widowControl/>
        <w:spacing w:line="360" w:lineRule="auto"/>
        <w:jc w:val="left"/>
        <w:rPr>
          <w:sz w:val="24"/>
        </w:rPr>
      </w:pPr>
      <w:r>
        <w:rPr>
          <w:sz w:val="24"/>
        </w:rPr>
        <w:br w:type="page"/>
      </w:r>
      <w:r>
        <w:rPr>
          <w:rFonts w:hint="eastAsia"/>
          <w:sz w:val="24"/>
        </w:rPr>
        <w:t>附件三：</w:t>
      </w:r>
    </w:p>
    <w:p w14:paraId="7AEA4377">
      <w:pPr>
        <w:adjustRightInd w:val="0"/>
        <w:snapToGrid w:val="0"/>
        <w:spacing w:line="360" w:lineRule="auto"/>
        <w:jc w:val="center"/>
        <w:rPr>
          <w:b/>
          <w:sz w:val="36"/>
          <w:szCs w:val="36"/>
        </w:rPr>
      </w:pPr>
      <w:r>
        <w:rPr>
          <w:b/>
          <w:sz w:val="36"/>
          <w:szCs w:val="36"/>
        </w:rPr>
        <w:t>采购要求响应表</w:t>
      </w:r>
    </w:p>
    <w:p w14:paraId="1411E3C2">
      <w:pPr>
        <w:adjustRightInd w:val="0"/>
        <w:spacing w:line="360" w:lineRule="auto"/>
        <w:rPr>
          <w:spacing w:val="20"/>
          <w:sz w:val="24"/>
        </w:rPr>
      </w:pPr>
      <w:r>
        <w:rPr>
          <w:sz w:val="24"/>
        </w:rPr>
        <w:t>项目名称：</w:t>
      </w:r>
      <w:r>
        <w:rPr>
          <w:sz w:val="24"/>
          <w:u w:val="single"/>
        </w:rPr>
        <w:t xml:space="preserve">                        </w:t>
      </w:r>
    </w:p>
    <w:tbl>
      <w:tblPr>
        <w:tblStyle w:val="18"/>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20"/>
        <w:gridCol w:w="3659"/>
        <w:gridCol w:w="3539"/>
        <w:gridCol w:w="1220"/>
      </w:tblGrid>
      <w:tr w14:paraId="2C4428F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771B1531">
            <w:pPr>
              <w:adjustRightInd w:val="0"/>
              <w:spacing w:line="360" w:lineRule="auto"/>
              <w:jc w:val="center"/>
              <w:rPr>
                <w:sz w:val="24"/>
              </w:rPr>
            </w:pPr>
            <w:r>
              <w:rPr>
                <w:sz w:val="24"/>
              </w:rPr>
              <w:t>序号</w:t>
            </w:r>
          </w:p>
        </w:tc>
        <w:tc>
          <w:tcPr>
            <w:tcW w:w="3659" w:type="dxa"/>
            <w:tcBorders>
              <w:top w:val="single" w:color="auto" w:sz="4" w:space="0"/>
              <w:left w:val="single" w:color="auto" w:sz="4" w:space="0"/>
              <w:bottom w:val="single" w:color="auto" w:sz="4" w:space="0"/>
              <w:right w:val="single" w:color="auto" w:sz="4" w:space="0"/>
            </w:tcBorders>
            <w:vAlign w:val="center"/>
          </w:tcPr>
          <w:p w14:paraId="153E2D7D">
            <w:pPr>
              <w:adjustRightInd w:val="0"/>
              <w:spacing w:line="360" w:lineRule="auto"/>
              <w:jc w:val="center"/>
              <w:rPr>
                <w:sz w:val="24"/>
              </w:rPr>
            </w:pPr>
            <w:r>
              <w:rPr>
                <w:rFonts w:hint="eastAsia"/>
                <w:sz w:val="24"/>
              </w:rPr>
              <w:t>比选</w:t>
            </w:r>
            <w:r>
              <w:rPr>
                <w:sz w:val="24"/>
              </w:rPr>
              <w:t>文件要求</w:t>
            </w:r>
          </w:p>
        </w:tc>
        <w:tc>
          <w:tcPr>
            <w:tcW w:w="3539" w:type="dxa"/>
            <w:tcBorders>
              <w:top w:val="single" w:color="auto" w:sz="4" w:space="0"/>
              <w:left w:val="single" w:color="auto" w:sz="4" w:space="0"/>
              <w:bottom w:val="single" w:color="auto" w:sz="4" w:space="0"/>
              <w:right w:val="single" w:color="auto" w:sz="4" w:space="0"/>
            </w:tcBorders>
            <w:vAlign w:val="center"/>
          </w:tcPr>
          <w:p w14:paraId="09364507">
            <w:pPr>
              <w:adjustRightInd w:val="0"/>
              <w:spacing w:line="360" w:lineRule="auto"/>
              <w:jc w:val="center"/>
              <w:rPr>
                <w:sz w:val="24"/>
              </w:rPr>
            </w:pPr>
            <w:r>
              <w:rPr>
                <w:sz w:val="24"/>
              </w:rPr>
              <w:t>投标文件响应</w:t>
            </w:r>
          </w:p>
        </w:tc>
        <w:tc>
          <w:tcPr>
            <w:tcW w:w="1220" w:type="dxa"/>
            <w:tcBorders>
              <w:top w:val="single" w:color="auto" w:sz="4" w:space="0"/>
              <w:left w:val="single" w:color="auto" w:sz="4" w:space="0"/>
              <w:bottom w:val="single" w:color="auto" w:sz="4" w:space="0"/>
              <w:right w:val="single" w:color="auto" w:sz="4" w:space="0"/>
            </w:tcBorders>
            <w:vAlign w:val="center"/>
          </w:tcPr>
          <w:p w14:paraId="404D42D6">
            <w:pPr>
              <w:adjustRightInd w:val="0"/>
              <w:spacing w:line="360" w:lineRule="auto"/>
              <w:jc w:val="center"/>
              <w:rPr>
                <w:sz w:val="24"/>
              </w:rPr>
            </w:pPr>
            <w:r>
              <w:rPr>
                <w:sz w:val="24"/>
              </w:rPr>
              <w:t>偏离情况</w:t>
            </w:r>
          </w:p>
        </w:tc>
      </w:tr>
      <w:tr w14:paraId="0CD043B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107BD997">
            <w:pPr>
              <w:adjustRightInd w:val="0"/>
              <w:spacing w:line="360" w:lineRule="auto"/>
              <w:jc w:val="center"/>
              <w:rPr>
                <w:sz w:val="24"/>
              </w:rPr>
            </w:pPr>
          </w:p>
        </w:tc>
        <w:tc>
          <w:tcPr>
            <w:tcW w:w="3659" w:type="dxa"/>
            <w:tcBorders>
              <w:top w:val="single" w:color="auto" w:sz="4" w:space="0"/>
              <w:left w:val="single" w:color="auto" w:sz="4" w:space="0"/>
              <w:bottom w:val="single" w:color="auto" w:sz="4" w:space="0"/>
              <w:right w:val="single" w:color="auto" w:sz="4" w:space="0"/>
            </w:tcBorders>
            <w:vAlign w:val="center"/>
          </w:tcPr>
          <w:p w14:paraId="0BB34BE0">
            <w:pPr>
              <w:adjustRightInd w:val="0"/>
              <w:spacing w:line="360" w:lineRule="auto"/>
              <w:jc w:val="center"/>
              <w:rPr>
                <w:sz w:val="24"/>
              </w:rPr>
            </w:pPr>
          </w:p>
        </w:tc>
        <w:tc>
          <w:tcPr>
            <w:tcW w:w="3539" w:type="dxa"/>
            <w:tcBorders>
              <w:top w:val="single" w:color="auto" w:sz="4" w:space="0"/>
              <w:left w:val="single" w:color="auto" w:sz="4" w:space="0"/>
              <w:bottom w:val="single" w:color="auto" w:sz="4" w:space="0"/>
              <w:right w:val="single" w:color="auto" w:sz="4" w:space="0"/>
            </w:tcBorders>
            <w:vAlign w:val="center"/>
          </w:tcPr>
          <w:p w14:paraId="3FFEBE50">
            <w:pPr>
              <w:adjustRightInd w:val="0"/>
              <w:spacing w:line="360" w:lineRule="auto"/>
              <w:jc w:val="center"/>
              <w:rPr>
                <w:sz w:val="24"/>
              </w:rPr>
            </w:pPr>
          </w:p>
        </w:tc>
        <w:tc>
          <w:tcPr>
            <w:tcW w:w="1220" w:type="dxa"/>
            <w:tcBorders>
              <w:top w:val="single" w:color="auto" w:sz="4" w:space="0"/>
              <w:left w:val="single" w:color="auto" w:sz="4" w:space="0"/>
              <w:bottom w:val="single" w:color="auto" w:sz="4" w:space="0"/>
              <w:right w:val="single" w:color="auto" w:sz="4" w:space="0"/>
            </w:tcBorders>
            <w:vAlign w:val="center"/>
          </w:tcPr>
          <w:p w14:paraId="11324FC3">
            <w:pPr>
              <w:adjustRightInd w:val="0"/>
              <w:spacing w:line="360" w:lineRule="auto"/>
              <w:jc w:val="center"/>
              <w:rPr>
                <w:sz w:val="24"/>
              </w:rPr>
            </w:pPr>
          </w:p>
        </w:tc>
      </w:tr>
      <w:tr w14:paraId="4EFA72D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9"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56D4791F">
            <w:pPr>
              <w:adjustRightInd w:val="0"/>
              <w:spacing w:line="360" w:lineRule="auto"/>
              <w:jc w:val="center"/>
              <w:rPr>
                <w:sz w:val="24"/>
              </w:rPr>
            </w:pPr>
          </w:p>
        </w:tc>
        <w:tc>
          <w:tcPr>
            <w:tcW w:w="3659" w:type="dxa"/>
            <w:tcBorders>
              <w:top w:val="single" w:color="auto" w:sz="4" w:space="0"/>
              <w:left w:val="single" w:color="auto" w:sz="4" w:space="0"/>
              <w:bottom w:val="single" w:color="auto" w:sz="4" w:space="0"/>
              <w:right w:val="single" w:color="auto" w:sz="4" w:space="0"/>
            </w:tcBorders>
            <w:vAlign w:val="center"/>
          </w:tcPr>
          <w:p w14:paraId="7A529BF9">
            <w:pPr>
              <w:adjustRightInd w:val="0"/>
              <w:spacing w:line="360" w:lineRule="auto"/>
              <w:jc w:val="center"/>
              <w:rPr>
                <w:sz w:val="24"/>
              </w:rPr>
            </w:pPr>
          </w:p>
        </w:tc>
        <w:tc>
          <w:tcPr>
            <w:tcW w:w="3539" w:type="dxa"/>
            <w:tcBorders>
              <w:top w:val="single" w:color="auto" w:sz="4" w:space="0"/>
              <w:left w:val="single" w:color="auto" w:sz="4" w:space="0"/>
              <w:bottom w:val="single" w:color="auto" w:sz="4" w:space="0"/>
              <w:right w:val="single" w:color="auto" w:sz="4" w:space="0"/>
            </w:tcBorders>
            <w:vAlign w:val="center"/>
          </w:tcPr>
          <w:p w14:paraId="32D03E47">
            <w:pPr>
              <w:adjustRightInd w:val="0"/>
              <w:spacing w:line="360" w:lineRule="auto"/>
              <w:jc w:val="center"/>
              <w:rPr>
                <w:sz w:val="24"/>
              </w:rPr>
            </w:pPr>
          </w:p>
        </w:tc>
        <w:tc>
          <w:tcPr>
            <w:tcW w:w="1220" w:type="dxa"/>
            <w:tcBorders>
              <w:top w:val="single" w:color="auto" w:sz="4" w:space="0"/>
              <w:left w:val="single" w:color="auto" w:sz="4" w:space="0"/>
              <w:bottom w:val="single" w:color="auto" w:sz="4" w:space="0"/>
              <w:right w:val="single" w:color="auto" w:sz="4" w:space="0"/>
            </w:tcBorders>
            <w:vAlign w:val="center"/>
          </w:tcPr>
          <w:p w14:paraId="379B2C97">
            <w:pPr>
              <w:adjustRightInd w:val="0"/>
              <w:spacing w:line="360" w:lineRule="auto"/>
              <w:jc w:val="center"/>
              <w:rPr>
                <w:sz w:val="24"/>
              </w:rPr>
            </w:pPr>
          </w:p>
        </w:tc>
      </w:tr>
      <w:tr w14:paraId="1780F46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34D9542D">
            <w:pPr>
              <w:adjustRightInd w:val="0"/>
              <w:spacing w:line="360" w:lineRule="auto"/>
              <w:jc w:val="center"/>
              <w:rPr>
                <w:sz w:val="24"/>
              </w:rPr>
            </w:pPr>
          </w:p>
        </w:tc>
        <w:tc>
          <w:tcPr>
            <w:tcW w:w="3659" w:type="dxa"/>
            <w:tcBorders>
              <w:top w:val="single" w:color="auto" w:sz="4" w:space="0"/>
              <w:left w:val="single" w:color="auto" w:sz="4" w:space="0"/>
              <w:bottom w:val="single" w:color="auto" w:sz="4" w:space="0"/>
              <w:right w:val="single" w:color="auto" w:sz="4" w:space="0"/>
            </w:tcBorders>
            <w:vAlign w:val="center"/>
          </w:tcPr>
          <w:p w14:paraId="6CADCF3B">
            <w:pPr>
              <w:adjustRightInd w:val="0"/>
              <w:spacing w:line="360" w:lineRule="auto"/>
              <w:jc w:val="center"/>
              <w:rPr>
                <w:sz w:val="24"/>
              </w:rPr>
            </w:pPr>
          </w:p>
        </w:tc>
        <w:tc>
          <w:tcPr>
            <w:tcW w:w="3539" w:type="dxa"/>
            <w:tcBorders>
              <w:top w:val="single" w:color="auto" w:sz="4" w:space="0"/>
              <w:left w:val="single" w:color="auto" w:sz="4" w:space="0"/>
              <w:bottom w:val="single" w:color="auto" w:sz="4" w:space="0"/>
              <w:right w:val="single" w:color="auto" w:sz="4" w:space="0"/>
            </w:tcBorders>
            <w:vAlign w:val="center"/>
          </w:tcPr>
          <w:p w14:paraId="72859DC7">
            <w:pPr>
              <w:adjustRightInd w:val="0"/>
              <w:spacing w:line="360" w:lineRule="auto"/>
              <w:jc w:val="center"/>
              <w:rPr>
                <w:sz w:val="24"/>
              </w:rPr>
            </w:pPr>
          </w:p>
        </w:tc>
        <w:tc>
          <w:tcPr>
            <w:tcW w:w="1220" w:type="dxa"/>
            <w:tcBorders>
              <w:top w:val="single" w:color="auto" w:sz="4" w:space="0"/>
              <w:left w:val="single" w:color="auto" w:sz="4" w:space="0"/>
              <w:bottom w:val="single" w:color="auto" w:sz="4" w:space="0"/>
              <w:right w:val="single" w:color="auto" w:sz="4" w:space="0"/>
            </w:tcBorders>
            <w:vAlign w:val="center"/>
          </w:tcPr>
          <w:p w14:paraId="1615DA6B">
            <w:pPr>
              <w:adjustRightInd w:val="0"/>
              <w:spacing w:line="360" w:lineRule="auto"/>
              <w:jc w:val="center"/>
              <w:rPr>
                <w:sz w:val="24"/>
              </w:rPr>
            </w:pPr>
          </w:p>
        </w:tc>
      </w:tr>
      <w:tr w14:paraId="3D709BE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00394490">
            <w:pPr>
              <w:adjustRightInd w:val="0"/>
              <w:spacing w:line="360" w:lineRule="auto"/>
              <w:jc w:val="center"/>
              <w:rPr>
                <w:sz w:val="24"/>
              </w:rPr>
            </w:pPr>
          </w:p>
        </w:tc>
        <w:tc>
          <w:tcPr>
            <w:tcW w:w="3659" w:type="dxa"/>
            <w:tcBorders>
              <w:top w:val="single" w:color="auto" w:sz="4" w:space="0"/>
              <w:left w:val="single" w:color="auto" w:sz="4" w:space="0"/>
              <w:bottom w:val="single" w:color="auto" w:sz="4" w:space="0"/>
              <w:right w:val="single" w:color="auto" w:sz="4" w:space="0"/>
            </w:tcBorders>
            <w:vAlign w:val="center"/>
          </w:tcPr>
          <w:p w14:paraId="60380B83">
            <w:pPr>
              <w:adjustRightInd w:val="0"/>
              <w:spacing w:line="360" w:lineRule="auto"/>
              <w:jc w:val="center"/>
              <w:rPr>
                <w:sz w:val="24"/>
              </w:rPr>
            </w:pPr>
          </w:p>
        </w:tc>
        <w:tc>
          <w:tcPr>
            <w:tcW w:w="3539" w:type="dxa"/>
            <w:tcBorders>
              <w:top w:val="single" w:color="auto" w:sz="4" w:space="0"/>
              <w:left w:val="single" w:color="auto" w:sz="4" w:space="0"/>
              <w:bottom w:val="single" w:color="auto" w:sz="4" w:space="0"/>
              <w:right w:val="single" w:color="auto" w:sz="4" w:space="0"/>
            </w:tcBorders>
            <w:vAlign w:val="center"/>
          </w:tcPr>
          <w:p w14:paraId="0F8126A3">
            <w:pPr>
              <w:adjustRightInd w:val="0"/>
              <w:spacing w:line="360" w:lineRule="auto"/>
              <w:jc w:val="center"/>
              <w:rPr>
                <w:sz w:val="24"/>
              </w:rPr>
            </w:pPr>
          </w:p>
        </w:tc>
        <w:tc>
          <w:tcPr>
            <w:tcW w:w="1220" w:type="dxa"/>
            <w:tcBorders>
              <w:top w:val="single" w:color="auto" w:sz="4" w:space="0"/>
              <w:left w:val="single" w:color="auto" w:sz="4" w:space="0"/>
              <w:bottom w:val="single" w:color="auto" w:sz="4" w:space="0"/>
              <w:right w:val="single" w:color="auto" w:sz="4" w:space="0"/>
            </w:tcBorders>
            <w:vAlign w:val="center"/>
          </w:tcPr>
          <w:p w14:paraId="29EE44D9">
            <w:pPr>
              <w:adjustRightInd w:val="0"/>
              <w:spacing w:line="360" w:lineRule="auto"/>
              <w:jc w:val="center"/>
              <w:rPr>
                <w:sz w:val="24"/>
              </w:rPr>
            </w:pPr>
          </w:p>
        </w:tc>
      </w:tr>
      <w:tr w14:paraId="725C32A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9"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0DBF7CC1">
            <w:pPr>
              <w:adjustRightInd w:val="0"/>
              <w:spacing w:line="360" w:lineRule="auto"/>
              <w:jc w:val="center"/>
              <w:rPr>
                <w:sz w:val="24"/>
              </w:rPr>
            </w:pPr>
          </w:p>
        </w:tc>
        <w:tc>
          <w:tcPr>
            <w:tcW w:w="3659" w:type="dxa"/>
            <w:tcBorders>
              <w:top w:val="single" w:color="auto" w:sz="4" w:space="0"/>
              <w:left w:val="single" w:color="auto" w:sz="4" w:space="0"/>
              <w:bottom w:val="single" w:color="auto" w:sz="4" w:space="0"/>
              <w:right w:val="single" w:color="auto" w:sz="4" w:space="0"/>
            </w:tcBorders>
            <w:vAlign w:val="center"/>
          </w:tcPr>
          <w:p w14:paraId="359E8832">
            <w:pPr>
              <w:adjustRightInd w:val="0"/>
              <w:spacing w:line="360" w:lineRule="auto"/>
              <w:jc w:val="center"/>
              <w:rPr>
                <w:sz w:val="24"/>
              </w:rPr>
            </w:pPr>
          </w:p>
        </w:tc>
        <w:tc>
          <w:tcPr>
            <w:tcW w:w="3539" w:type="dxa"/>
            <w:tcBorders>
              <w:top w:val="single" w:color="auto" w:sz="4" w:space="0"/>
              <w:left w:val="single" w:color="auto" w:sz="4" w:space="0"/>
              <w:bottom w:val="single" w:color="auto" w:sz="4" w:space="0"/>
              <w:right w:val="single" w:color="auto" w:sz="4" w:space="0"/>
            </w:tcBorders>
            <w:vAlign w:val="center"/>
          </w:tcPr>
          <w:p w14:paraId="0F23BFC4">
            <w:pPr>
              <w:adjustRightInd w:val="0"/>
              <w:spacing w:line="360" w:lineRule="auto"/>
              <w:jc w:val="center"/>
              <w:rPr>
                <w:sz w:val="24"/>
              </w:rPr>
            </w:pPr>
          </w:p>
        </w:tc>
        <w:tc>
          <w:tcPr>
            <w:tcW w:w="1220" w:type="dxa"/>
            <w:tcBorders>
              <w:top w:val="single" w:color="auto" w:sz="4" w:space="0"/>
              <w:left w:val="single" w:color="auto" w:sz="4" w:space="0"/>
              <w:bottom w:val="single" w:color="auto" w:sz="4" w:space="0"/>
              <w:right w:val="single" w:color="auto" w:sz="4" w:space="0"/>
            </w:tcBorders>
            <w:vAlign w:val="center"/>
          </w:tcPr>
          <w:p w14:paraId="16AD4579">
            <w:pPr>
              <w:adjustRightInd w:val="0"/>
              <w:spacing w:line="360" w:lineRule="auto"/>
              <w:jc w:val="center"/>
              <w:rPr>
                <w:sz w:val="24"/>
              </w:rPr>
            </w:pPr>
          </w:p>
        </w:tc>
      </w:tr>
      <w:tr w14:paraId="7E8AE2B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18461155">
            <w:pPr>
              <w:adjustRightInd w:val="0"/>
              <w:spacing w:line="360" w:lineRule="auto"/>
              <w:jc w:val="center"/>
              <w:rPr>
                <w:sz w:val="24"/>
              </w:rPr>
            </w:pPr>
          </w:p>
        </w:tc>
        <w:tc>
          <w:tcPr>
            <w:tcW w:w="3659" w:type="dxa"/>
            <w:tcBorders>
              <w:top w:val="single" w:color="auto" w:sz="4" w:space="0"/>
              <w:left w:val="single" w:color="auto" w:sz="4" w:space="0"/>
              <w:bottom w:val="single" w:color="auto" w:sz="4" w:space="0"/>
              <w:right w:val="single" w:color="auto" w:sz="4" w:space="0"/>
            </w:tcBorders>
            <w:vAlign w:val="center"/>
          </w:tcPr>
          <w:p w14:paraId="13ED0A77">
            <w:pPr>
              <w:adjustRightInd w:val="0"/>
              <w:spacing w:line="360" w:lineRule="auto"/>
              <w:jc w:val="center"/>
              <w:rPr>
                <w:sz w:val="24"/>
              </w:rPr>
            </w:pPr>
          </w:p>
        </w:tc>
        <w:tc>
          <w:tcPr>
            <w:tcW w:w="3539" w:type="dxa"/>
            <w:tcBorders>
              <w:top w:val="single" w:color="auto" w:sz="4" w:space="0"/>
              <w:left w:val="single" w:color="auto" w:sz="4" w:space="0"/>
              <w:bottom w:val="single" w:color="auto" w:sz="4" w:space="0"/>
              <w:right w:val="single" w:color="auto" w:sz="4" w:space="0"/>
            </w:tcBorders>
            <w:vAlign w:val="center"/>
          </w:tcPr>
          <w:p w14:paraId="17B8F4FE">
            <w:pPr>
              <w:adjustRightInd w:val="0"/>
              <w:spacing w:line="360" w:lineRule="auto"/>
              <w:jc w:val="center"/>
              <w:rPr>
                <w:sz w:val="24"/>
              </w:rPr>
            </w:pPr>
          </w:p>
        </w:tc>
        <w:tc>
          <w:tcPr>
            <w:tcW w:w="1220" w:type="dxa"/>
            <w:tcBorders>
              <w:top w:val="single" w:color="auto" w:sz="4" w:space="0"/>
              <w:left w:val="single" w:color="auto" w:sz="4" w:space="0"/>
              <w:bottom w:val="single" w:color="auto" w:sz="4" w:space="0"/>
              <w:right w:val="single" w:color="auto" w:sz="4" w:space="0"/>
            </w:tcBorders>
            <w:vAlign w:val="center"/>
          </w:tcPr>
          <w:p w14:paraId="392DB696">
            <w:pPr>
              <w:adjustRightInd w:val="0"/>
              <w:spacing w:line="360" w:lineRule="auto"/>
              <w:jc w:val="center"/>
              <w:rPr>
                <w:sz w:val="24"/>
              </w:rPr>
            </w:pPr>
          </w:p>
        </w:tc>
      </w:tr>
      <w:tr w14:paraId="34E2706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01507555">
            <w:pPr>
              <w:adjustRightInd w:val="0"/>
              <w:spacing w:line="360" w:lineRule="auto"/>
              <w:jc w:val="center"/>
              <w:rPr>
                <w:sz w:val="24"/>
              </w:rPr>
            </w:pPr>
          </w:p>
        </w:tc>
        <w:tc>
          <w:tcPr>
            <w:tcW w:w="3659" w:type="dxa"/>
            <w:tcBorders>
              <w:top w:val="single" w:color="auto" w:sz="4" w:space="0"/>
              <w:left w:val="single" w:color="auto" w:sz="4" w:space="0"/>
              <w:bottom w:val="single" w:color="auto" w:sz="4" w:space="0"/>
              <w:right w:val="single" w:color="auto" w:sz="4" w:space="0"/>
            </w:tcBorders>
            <w:vAlign w:val="center"/>
          </w:tcPr>
          <w:p w14:paraId="1D96BCAC">
            <w:pPr>
              <w:adjustRightInd w:val="0"/>
              <w:spacing w:line="360" w:lineRule="auto"/>
              <w:jc w:val="center"/>
              <w:rPr>
                <w:sz w:val="24"/>
              </w:rPr>
            </w:pPr>
          </w:p>
        </w:tc>
        <w:tc>
          <w:tcPr>
            <w:tcW w:w="3539" w:type="dxa"/>
            <w:tcBorders>
              <w:top w:val="single" w:color="auto" w:sz="4" w:space="0"/>
              <w:left w:val="single" w:color="auto" w:sz="4" w:space="0"/>
              <w:bottom w:val="single" w:color="auto" w:sz="4" w:space="0"/>
              <w:right w:val="single" w:color="auto" w:sz="4" w:space="0"/>
            </w:tcBorders>
            <w:vAlign w:val="center"/>
          </w:tcPr>
          <w:p w14:paraId="10E29003">
            <w:pPr>
              <w:adjustRightInd w:val="0"/>
              <w:spacing w:line="360" w:lineRule="auto"/>
              <w:jc w:val="center"/>
              <w:rPr>
                <w:sz w:val="24"/>
              </w:rPr>
            </w:pPr>
          </w:p>
        </w:tc>
        <w:tc>
          <w:tcPr>
            <w:tcW w:w="1220" w:type="dxa"/>
            <w:tcBorders>
              <w:top w:val="single" w:color="auto" w:sz="4" w:space="0"/>
              <w:left w:val="single" w:color="auto" w:sz="4" w:space="0"/>
              <w:bottom w:val="single" w:color="auto" w:sz="4" w:space="0"/>
              <w:right w:val="single" w:color="auto" w:sz="4" w:space="0"/>
            </w:tcBorders>
            <w:vAlign w:val="center"/>
          </w:tcPr>
          <w:p w14:paraId="4A159088">
            <w:pPr>
              <w:adjustRightInd w:val="0"/>
              <w:spacing w:line="360" w:lineRule="auto"/>
              <w:jc w:val="center"/>
              <w:rPr>
                <w:sz w:val="24"/>
              </w:rPr>
            </w:pPr>
          </w:p>
        </w:tc>
      </w:tr>
      <w:tr w14:paraId="6E2AD33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9"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03336D63">
            <w:pPr>
              <w:adjustRightInd w:val="0"/>
              <w:spacing w:line="360" w:lineRule="auto"/>
              <w:jc w:val="center"/>
              <w:rPr>
                <w:sz w:val="24"/>
              </w:rPr>
            </w:pPr>
          </w:p>
        </w:tc>
        <w:tc>
          <w:tcPr>
            <w:tcW w:w="3659" w:type="dxa"/>
            <w:tcBorders>
              <w:top w:val="single" w:color="auto" w:sz="4" w:space="0"/>
              <w:left w:val="single" w:color="auto" w:sz="4" w:space="0"/>
              <w:bottom w:val="single" w:color="auto" w:sz="4" w:space="0"/>
              <w:right w:val="single" w:color="auto" w:sz="4" w:space="0"/>
            </w:tcBorders>
            <w:vAlign w:val="center"/>
          </w:tcPr>
          <w:p w14:paraId="28D3072A">
            <w:pPr>
              <w:adjustRightInd w:val="0"/>
              <w:spacing w:line="360" w:lineRule="auto"/>
              <w:jc w:val="center"/>
              <w:rPr>
                <w:sz w:val="24"/>
              </w:rPr>
            </w:pPr>
          </w:p>
        </w:tc>
        <w:tc>
          <w:tcPr>
            <w:tcW w:w="3539" w:type="dxa"/>
            <w:tcBorders>
              <w:top w:val="single" w:color="auto" w:sz="4" w:space="0"/>
              <w:left w:val="single" w:color="auto" w:sz="4" w:space="0"/>
              <w:bottom w:val="single" w:color="auto" w:sz="4" w:space="0"/>
              <w:right w:val="single" w:color="auto" w:sz="4" w:space="0"/>
            </w:tcBorders>
            <w:vAlign w:val="center"/>
          </w:tcPr>
          <w:p w14:paraId="21A518BD">
            <w:pPr>
              <w:adjustRightInd w:val="0"/>
              <w:spacing w:line="360" w:lineRule="auto"/>
              <w:jc w:val="center"/>
              <w:rPr>
                <w:sz w:val="24"/>
              </w:rPr>
            </w:pPr>
          </w:p>
        </w:tc>
        <w:tc>
          <w:tcPr>
            <w:tcW w:w="1220" w:type="dxa"/>
            <w:tcBorders>
              <w:top w:val="single" w:color="auto" w:sz="4" w:space="0"/>
              <w:left w:val="single" w:color="auto" w:sz="4" w:space="0"/>
              <w:bottom w:val="single" w:color="auto" w:sz="4" w:space="0"/>
              <w:right w:val="single" w:color="auto" w:sz="4" w:space="0"/>
            </w:tcBorders>
            <w:vAlign w:val="center"/>
          </w:tcPr>
          <w:p w14:paraId="2D057A81">
            <w:pPr>
              <w:adjustRightInd w:val="0"/>
              <w:spacing w:line="360" w:lineRule="auto"/>
              <w:jc w:val="center"/>
              <w:rPr>
                <w:sz w:val="24"/>
              </w:rPr>
            </w:pPr>
          </w:p>
        </w:tc>
      </w:tr>
      <w:tr w14:paraId="7CE39BB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524F0433">
            <w:pPr>
              <w:adjustRightInd w:val="0"/>
              <w:spacing w:line="360" w:lineRule="auto"/>
              <w:jc w:val="center"/>
              <w:rPr>
                <w:sz w:val="24"/>
              </w:rPr>
            </w:pPr>
          </w:p>
        </w:tc>
        <w:tc>
          <w:tcPr>
            <w:tcW w:w="3659" w:type="dxa"/>
            <w:tcBorders>
              <w:top w:val="single" w:color="auto" w:sz="4" w:space="0"/>
              <w:left w:val="single" w:color="auto" w:sz="4" w:space="0"/>
              <w:bottom w:val="single" w:color="auto" w:sz="4" w:space="0"/>
              <w:right w:val="single" w:color="auto" w:sz="4" w:space="0"/>
            </w:tcBorders>
            <w:vAlign w:val="center"/>
          </w:tcPr>
          <w:p w14:paraId="2FC2CE2D">
            <w:pPr>
              <w:adjustRightInd w:val="0"/>
              <w:spacing w:line="360" w:lineRule="auto"/>
              <w:jc w:val="center"/>
              <w:rPr>
                <w:sz w:val="24"/>
              </w:rPr>
            </w:pPr>
          </w:p>
        </w:tc>
        <w:tc>
          <w:tcPr>
            <w:tcW w:w="3539" w:type="dxa"/>
            <w:tcBorders>
              <w:top w:val="single" w:color="auto" w:sz="4" w:space="0"/>
              <w:left w:val="single" w:color="auto" w:sz="4" w:space="0"/>
              <w:bottom w:val="single" w:color="auto" w:sz="4" w:space="0"/>
              <w:right w:val="single" w:color="auto" w:sz="4" w:space="0"/>
            </w:tcBorders>
            <w:vAlign w:val="center"/>
          </w:tcPr>
          <w:p w14:paraId="10344E1B">
            <w:pPr>
              <w:adjustRightInd w:val="0"/>
              <w:spacing w:line="360" w:lineRule="auto"/>
              <w:jc w:val="center"/>
              <w:rPr>
                <w:sz w:val="24"/>
              </w:rPr>
            </w:pPr>
          </w:p>
        </w:tc>
        <w:tc>
          <w:tcPr>
            <w:tcW w:w="1220" w:type="dxa"/>
            <w:tcBorders>
              <w:top w:val="single" w:color="auto" w:sz="4" w:space="0"/>
              <w:left w:val="single" w:color="auto" w:sz="4" w:space="0"/>
              <w:bottom w:val="single" w:color="auto" w:sz="4" w:space="0"/>
              <w:right w:val="single" w:color="auto" w:sz="4" w:space="0"/>
            </w:tcBorders>
            <w:vAlign w:val="center"/>
          </w:tcPr>
          <w:p w14:paraId="1213F841">
            <w:pPr>
              <w:adjustRightInd w:val="0"/>
              <w:spacing w:line="360" w:lineRule="auto"/>
              <w:jc w:val="center"/>
              <w:rPr>
                <w:sz w:val="24"/>
              </w:rPr>
            </w:pPr>
          </w:p>
        </w:tc>
      </w:tr>
      <w:tr w14:paraId="0A9CFF8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22F1C419">
            <w:pPr>
              <w:adjustRightInd w:val="0"/>
              <w:spacing w:line="360" w:lineRule="auto"/>
              <w:jc w:val="center"/>
              <w:rPr>
                <w:sz w:val="24"/>
              </w:rPr>
            </w:pPr>
          </w:p>
        </w:tc>
        <w:tc>
          <w:tcPr>
            <w:tcW w:w="3659" w:type="dxa"/>
            <w:tcBorders>
              <w:top w:val="single" w:color="auto" w:sz="4" w:space="0"/>
              <w:left w:val="single" w:color="auto" w:sz="4" w:space="0"/>
              <w:bottom w:val="single" w:color="auto" w:sz="4" w:space="0"/>
              <w:right w:val="single" w:color="auto" w:sz="4" w:space="0"/>
            </w:tcBorders>
            <w:vAlign w:val="center"/>
          </w:tcPr>
          <w:p w14:paraId="6AC1EE78">
            <w:pPr>
              <w:adjustRightInd w:val="0"/>
              <w:spacing w:line="360" w:lineRule="auto"/>
              <w:jc w:val="center"/>
              <w:rPr>
                <w:sz w:val="24"/>
              </w:rPr>
            </w:pPr>
          </w:p>
        </w:tc>
        <w:tc>
          <w:tcPr>
            <w:tcW w:w="3539" w:type="dxa"/>
            <w:tcBorders>
              <w:top w:val="single" w:color="auto" w:sz="4" w:space="0"/>
              <w:left w:val="single" w:color="auto" w:sz="4" w:space="0"/>
              <w:bottom w:val="single" w:color="auto" w:sz="4" w:space="0"/>
              <w:right w:val="single" w:color="auto" w:sz="4" w:space="0"/>
            </w:tcBorders>
            <w:vAlign w:val="center"/>
          </w:tcPr>
          <w:p w14:paraId="543D0B6A">
            <w:pPr>
              <w:adjustRightInd w:val="0"/>
              <w:spacing w:line="360" w:lineRule="auto"/>
              <w:jc w:val="center"/>
              <w:rPr>
                <w:sz w:val="24"/>
              </w:rPr>
            </w:pPr>
          </w:p>
        </w:tc>
        <w:tc>
          <w:tcPr>
            <w:tcW w:w="1220" w:type="dxa"/>
            <w:tcBorders>
              <w:top w:val="single" w:color="auto" w:sz="4" w:space="0"/>
              <w:left w:val="single" w:color="auto" w:sz="4" w:space="0"/>
              <w:bottom w:val="single" w:color="auto" w:sz="4" w:space="0"/>
              <w:right w:val="single" w:color="auto" w:sz="4" w:space="0"/>
            </w:tcBorders>
            <w:vAlign w:val="center"/>
          </w:tcPr>
          <w:p w14:paraId="7EC47140">
            <w:pPr>
              <w:adjustRightInd w:val="0"/>
              <w:spacing w:line="360" w:lineRule="auto"/>
              <w:jc w:val="center"/>
              <w:rPr>
                <w:sz w:val="24"/>
              </w:rPr>
            </w:pPr>
          </w:p>
        </w:tc>
      </w:tr>
      <w:tr w14:paraId="172CAA6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9"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68009732">
            <w:pPr>
              <w:adjustRightInd w:val="0"/>
              <w:spacing w:line="360" w:lineRule="auto"/>
              <w:jc w:val="center"/>
              <w:rPr>
                <w:sz w:val="24"/>
              </w:rPr>
            </w:pPr>
          </w:p>
        </w:tc>
        <w:tc>
          <w:tcPr>
            <w:tcW w:w="3659" w:type="dxa"/>
            <w:tcBorders>
              <w:top w:val="single" w:color="auto" w:sz="4" w:space="0"/>
              <w:left w:val="single" w:color="auto" w:sz="4" w:space="0"/>
              <w:bottom w:val="single" w:color="auto" w:sz="4" w:space="0"/>
              <w:right w:val="single" w:color="auto" w:sz="4" w:space="0"/>
            </w:tcBorders>
            <w:vAlign w:val="center"/>
          </w:tcPr>
          <w:p w14:paraId="1B67066C">
            <w:pPr>
              <w:adjustRightInd w:val="0"/>
              <w:spacing w:line="360" w:lineRule="auto"/>
              <w:jc w:val="center"/>
              <w:rPr>
                <w:sz w:val="24"/>
              </w:rPr>
            </w:pPr>
          </w:p>
        </w:tc>
        <w:tc>
          <w:tcPr>
            <w:tcW w:w="3539" w:type="dxa"/>
            <w:tcBorders>
              <w:top w:val="single" w:color="auto" w:sz="4" w:space="0"/>
              <w:left w:val="single" w:color="auto" w:sz="4" w:space="0"/>
              <w:bottom w:val="single" w:color="auto" w:sz="4" w:space="0"/>
              <w:right w:val="single" w:color="auto" w:sz="4" w:space="0"/>
            </w:tcBorders>
            <w:vAlign w:val="center"/>
          </w:tcPr>
          <w:p w14:paraId="5957DB28">
            <w:pPr>
              <w:adjustRightInd w:val="0"/>
              <w:spacing w:line="360" w:lineRule="auto"/>
              <w:jc w:val="center"/>
              <w:rPr>
                <w:sz w:val="24"/>
              </w:rPr>
            </w:pPr>
          </w:p>
        </w:tc>
        <w:tc>
          <w:tcPr>
            <w:tcW w:w="1220" w:type="dxa"/>
            <w:tcBorders>
              <w:top w:val="single" w:color="auto" w:sz="4" w:space="0"/>
              <w:left w:val="single" w:color="auto" w:sz="4" w:space="0"/>
              <w:bottom w:val="single" w:color="auto" w:sz="4" w:space="0"/>
              <w:right w:val="single" w:color="auto" w:sz="4" w:space="0"/>
            </w:tcBorders>
            <w:vAlign w:val="center"/>
          </w:tcPr>
          <w:p w14:paraId="27DB0B66">
            <w:pPr>
              <w:adjustRightInd w:val="0"/>
              <w:spacing w:line="360" w:lineRule="auto"/>
              <w:jc w:val="center"/>
              <w:rPr>
                <w:sz w:val="24"/>
              </w:rPr>
            </w:pPr>
          </w:p>
        </w:tc>
      </w:tr>
      <w:tr w14:paraId="31634F2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27"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016F1B59">
            <w:pPr>
              <w:adjustRightInd w:val="0"/>
              <w:spacing w:line="360" w:lineRule="auto"/>
              <w:jc w:val="center"/>
              <w:rPr>
                <w:sz w:val="24"/>
              </w:rPr>
            </w:pPr>
          </w:p>
        </w:tc>
        <w:tc>
          <w:tcPr>
            <w:tcW w:w="3659" w:type="dxa"/>
            <w:tcBorders>
              <w:top w:val="single" w:color="auto" w:sz="4" w:space="0"/>
              <w:left w:val="single" w:color="auto" w:sz="4" w:space="0"/>
              <w:bottom w:val="single" w:color="auto" w:sz="4" w:space="0"/>
              <w:right w:val="single" w:color="auto" w:sz="4" w:space="0"/>
            </w:tcBorders>
            <w:vAlign w:val="center"/>
          </w:tcPr>
          <w:p w14:paraId="3A09B7AC">
            <w:pPr>
              <w:adjustRightInd w:val="0"/>
              <w:spacing w:line="360" w:lineRule="auto"/>
              <w:jc w:val="center"/>
              <w:rPr>
                <w:sz w:val="24"/>
              </w:rPr>
            </w:pPr>
            <w:r>
              <w:rPr>
                <w:sz w:val="24"/>
              </w:rPr>
              <w:t>...</w:t>
            </w:r>
          </w:p>
        </w:tc>
        <w:tc>
          <w:tcPr>
            <w:tcW w:w="3539" w:type="dxa"/>
            <w:tcBorders>
              <w:top w:val="single" w:color="auto" w:sz="4" w:space="0"/>
              <w:left w:val="single" w:color="auto" w:sz="4" w:space="0"/>
              <w:bottom w:val="single" w:color="auto" w:sz="4" w:space="0"/>
              <w:right w:val="single" w:color="auto" w:sz="4" w:space="0"/>
            </w:tcBorders>
            <w:vAlign w:val="center"/>
          </w:tcPr>
          <w:p w14:paraId="7A382CBD">
            <w:pPr>
              <w:adjustRightInd w:val="0"/>
              <w:spacing w:line="360" w:lineRule="auto"/>
              <w:jc w:val="center"/>
              <w:rPr>
                <w:sz w:val="24"/>
              </w:rPr>
            </w:pPr>
          </w:p>
        </w:tc>
        <w:tc>
          <w:tcPr>
            <w:tcW w:w="1220" w:type="dxa"/>
            <w:tcBorders>
              <w:top w:val="single" w:color="auto" w:sz="4" w:space="0"/>
              <w:left w:val="single" w:color="auto" w:sz="4" w:space="0"/>
              <w:bottom w:val="single" w:color="auto" w:sz="4" w:space="0"/>
              <w:right w:val="single" w:color="auto" w:sz="4" w:space="0"/>
            </w:tcBorders>
            <w:vAlign w:val="center"/>
          </w:tcPr>
          <w:p w14:paraId="174179C7">
            <w:pPr>
              <w:adjustRightInd w:val="0"/>
              <w:spacing w:line="360" w:lineRule="auto"/>
              <w:jc w:val="center"/>
              <w:rPr>
                <w:sz w:val="24"/>
              </w:rPr>
            </w:pPr>
          </w:p>
        </w:tc>
      </w:tr>
    </w:tbl>
    <w:p w14:paraId="627FC90B">
      <w:pPr>
        <w:adjustRightInd w:val="0"/>
        <w:snapToGrid w:val="0"/>
        <w:spacing w:before="50" w:after="50" w:line="360" w:lineRule="auto"/>
        <w:rPr>
          <w:b/>
          <w:bCs/>
          <w:sz w:val="24"/>
        </w:rPr>
      </w:pPr>
      <w:r>
        <w:rPr>
          <w:b/>
          <w:bCs/>
          <w:sz w:val="24"/>
        </w:rPr>
        <w:t>注：</w:t>
      </w:r>
    </w:p>
    <w:p w14:paraId="4F0B6463">
      <w:pPr>
        <w:numPr>
          <w:ilvl w:val="1"/>
          <w:numId w:val="4"/>
        </w:numPr>
        <w:tabs>
          <w:tab w:val="left" w:pos="540"/>
        </w:tabs>
        <w:adjustRightInd w:val="0"/>
        <w:snapToGrid w:val="0"/>
        <w:spacing w:before="50" w:after="50" w:line="360" w:lineRule="auto"/>
        <w:ind w:left="540" w:hanging="540"/>
        <w:rPr>
          <w:b/>
          <w:bCs/>
          <w:sz w:val="24"/>
        </w:rPr>
      </w:pPr>
      <w:r>
        <w:rPr>
          <w:b/>
          <w:bCs/>
          <w:sz w:val="24"/>
        </w:rPr>
        <w:t>投标人应根据投标设备的性能指标、对照</w:t>
      </w:r>
      <w:r>
        <w:rPr>
          <w:rFonts w:hint="eastAsia"/>
          <w:b/>
          <w:bCs/>
          <w:sz w:val="24"/>
        </w:rPr>
        <w:t>比选</w:t>
      </w:r>
      <w:r>
        <w:rPr>
          <w:b/>
          <w:bCs/>
          <w:sz w:val="24"/>
        </w:rPr>
        <w:t>文件要求一一对应如实填写技术响应表，在“偏离情况”栏注明“正偏离”、“负偏离”或“无偏离”。未按要求填写的，有可能作负偏离处理。</w:t>
      </w:r>
    </w:p>
    <w:p w14:paraId="6F452D3E">
      <w:pPr>
        <w:adjustRightInd w:val="0"/>
        <w:snapToGrid w:val="0"/>
        <w:spacing w:before="50" w:after="50" w:line="360" w:lineRule="auto"/>
        <w:rPr>
          <w:b/>
          <w:bCs/>
          <w:sz w:val="24"/>
        </w:rPr>
      </w:pPr>
    </w:p>
    <w:p w14:paraId="26DB728B">
      <w:pPr>
        <w:adjustRightInd w:val="0"/>
        <w:snapToGrid w:val="0"/>
        <w:spacing w:before="50" w:after="50" w:line="360" w:lineRule="auto"/>
        <w:rPr>
          <w:b/>
          <w:bCs/>
          <w:sz w:val="24"/>
        </w:rPr>
      </w:pPr>
    </w:p>
    <w:p w14:paraId="53886E05">
      <w:pPr>
        <w:adjustRightInd w:val="0"/>
        <w:snapToGrid w:val="0"/>
        <w:spacing w:before="50" w:after="156" w:afterLines="50" w:line="360" w:lineRule="auto"/>
        <w:jc w:val="left"/>
        <w:rPr>
          <w:sz w:val="24"/>
        </w:rPr>
      </w:pPr>
      <w:r>
        <w:rPr>
          <w:b/>
          <w:bCs/>
          <w:sz w:val="24"/>
        </w:rPr>
        <w:t>投标人签章：</w:t>
      </w:r>
      <w:r>
        <w:rPr>
          <w:spacing w:val="20"/>
          <w:sz w:val="24"/>
          <w:u w:val="single"/>
        </w:rPr>
        <w:t xml:space="preserve">            </w:t>
      </w:r>
      <w:r>
        <w:rPr>
          <w:spacing w:val="20"/>
          <w:sz w:val="24"/>
        </w:rPr>
        <w:t xml:space="preserve">              </w:t>
      </w:r>
      <w:r>
        <w:rPr>
          <w:b/>
          <w:bCs/>
          <w:sz w:val="24"/>
        </w:rPr>
        <w:t>日 期：</w:t>
      </w:r>
      <w:r>
        <w:rPr>
          <w:spacing w:val="20"/>
          <w:sz w:val="24"/>
          <w:u w:val="single"/>
        </w:rPr>
        <w:t xml:space="preserve">          </w:t>
      </w:r>
    </w:p>
    <w:p w14:paraId="0600FAA1">
      <w:pPr>
        <w:rPr>
          <w:sz w:val="24"/>
        </w:rPr>
      </w:pPr>
    </w:p>
    <w:p w14:paraId="70A6AAE3">
      <w:pPr>
        <w:rPr>
          <w:rFonts w:ascii="新宋体" w:hAnsi="新宋体" w:eastAsia="新宋体"/>
          <w:b/>
          <w:bCs/>
          <w:sz w:val="22"/>
          <w:szCs w:val="22"/>
        </w:rPr>
      </w:pPr>
      <w:r>
        <w:rPr>
          <w:rFonts w:hint="eastAsia" w:ascii="新宋体" w:hAnsi="新宋体" w:eastAsia="新宋体"/>
          <w:b/>
          <w:bCs/>
          <w:sz w:val="22"/>
          <w:szCs w:val="22"/>
        </w:rPr>
        <w:br w:type="page"/>
      </w:r>
    </w:p>
    <w:p w14:paraId="03CE05EF">
      <w:pPr>
        <w:outlineLvl w:val="1"/>
        <w:rPr>
          <w:rFonts w:ascii="新宋体" w:hAnsi="新宋体" w:eastAsia="新宋体"/>
          <w:sz w:val="24"/>
        </w:rPr>
      </w:pPr>
      <w:r>
        <w:rPr>
          <w:rFonts w:hint="eastAsia" w:ascii="新宋体" w:hAnsi="新宋体" w:eastAsia="新宋体"/>
          <w:sz w:val="24"/>
        </w:rPr>
        <w:t>附件四</w:t>
      </w:r>
    </w:p>
    <w:p w14:paraId="3DB2CB75">
      <w:pPr>
        <w:ind w:left="143" w:leftChars="68"/>
        <w:jc w:val="center"/>
        <w:outlineLvl w:val="2"/>
        <w:rPr>
          <w:rFonts w:ascii="新宋体" w:hAnsi="新宋体" w:eastAsia="新宋体"/>
          <w:b/>
          <w:sz w:val="28"/>
          <w:szCs w:val="28"/>
        </w:rPr>
      </w:pPr>
      <w:r>
        <w:rPr>
          <w:rFonts w:hint="eastAsia" w:ascii="新宋体" w:hAnsi="新宋体" w:eastAsia="新宋体"/>
          <w:b/>
          <w:sz w:val="28"/>
          <w:szCs w:val="28"/>
        </w:rPr>
        <w:t xml:space="preserve">服务方案 </w:t>
      </w:r>
    </w:p>
    <w:p w14:paraId="7AC6A3EC">
      <w:pPr>
        <w:autoSpaceDE w:val="0"/>
        <w:autoSpaceDN w:val="0"/>
        <w:ind w:right="893" w:firstLine="418"/>
        <w:textAlignment w:val="bottom"/>
        <w:rPr>
          <w:rFonts w:ascii="新宋体" w:hAnsi="新宋体" w:eastAsia="新宋体"/>
        </w:rPr>
      </w:pPr>
      <w:r>
        <w:rPr>
          <w:rFonts w:hint="eastAsia" w:ascii="新宋体" w:hAnsi="新宋体" w:eastAsia="新宋体"/>
          <w:b/>
          <w:sz w:val="22"/>
        </w:rPr>
        <w:t>项目名称：                                           项目编号：</w:t>
      </w:r>
      <w:r>
        <w:rPr>
          <w:rFonts w:hint="eastAsia" w:ascii="新宋体" w:hAnsi="新宋体" w:eastAsia="新宋体"/>
        </w:rPr>
        <w:t xml:space="preserve"> </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81"/>
      </w:tblGrid>
      <w:tr w14:paraId="7C6618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61" w:hRule="atLeast"/>
          <w:jc w:val="center"/>
        </w:trPr>
        <w:tc>
          <w:tcPr>
            <w:tcW w:w="9181" w:type="dxa"/>
            <w:vAlign w:val="center"/>
          </w:tcPr>
          <w:p w14:paraId="50589785">
            <w:pPr>
              <w:pStyle w:val="25"/>
              <w:spacing w:after="0"/>
              <w:jc w:val="center"/>
              <w:rPr>
                <w:rFonts w:ascii="新宋体" w:hAnsi="新宋体" w:eastAsia="新宋体"/>
              </w:rPr>
            </w:pPr>
          </w:p>
        </w:tc>
      </w:tr>
    </w:tbl>
    <w:p w14:paraId="252E88CC">
      <w:pPr>
        <w:rPr>
          <w:rFonts w:ascii="新宋体" w:hAnsi="新宋体" w:eastAsia="新宋体"/>
          <w:sz w:val="22"/>
          <w:szCs w:val="22"/>
          <w:lang w:val="zh-CN"/>
        </w:rPr>
      </w:pPr>
      <w:r>
        <w:rPr>
          <w:rFonts w:hint="eastAsia" w:ascii="新宋体" w:hAnsi="新宋体" w:eastAsia="新宋体"/>
          <w:sz w:val="28"/>
        </w:rPr>
        <w:t xml:space="preserve">  </w:t>
      </w:r>
    </w:p>
    <w:p w14:paraId="48798E9F">
      <w:pPr>
        <w:spacing w:line="380" w:lineRule="exact"/>
        <w:ind w:firstLine="4400" w:firstLineChars="2000"/>
        <w:rPr>
          <w:rFonts w:ascii="新宋体" w:hAnsi="新宋体" w:eastAsia="新宋体"/>
          <w:sz w:val="22"/>
          <w:szCs w:val="22"/>
        </w:rPr>
      </w:pPr>
      <w:r>
        <w:rPr>
          <w:rFonts w:hint="eastAsia" w:ascii="新宋体" w:hAnsi="新宋体" w:eastAsia="新宋体"/>
          <w:sz w:val="22"/>
          <w:szCs w:val="22"/>
        </w:rPr>
        <w:t>投标人全称（盖章）：</w:t>
      </w:r>
    </w:p>
    <w:p w14:paraId="1A2C1EF0">
      <w:pPr>
        <w:spacing w:line="380" w:lineRule="exact"/>
        <w:ind w:firstLine="4400" w:firstLineChars="2000"/>
        <w:rPr>
          <w:rFonts w:ascii="新宋体" w:hAnsi="新宋体" w:eastAsia="新宋体"/>
          <w:sz w:val="22"/>
          <w:szCs w:val="22"/>
        </w:rPr>
      </w:pPr>
      <w:r>
        <w:rPr>
          <w:rFonts w:hint="eastAsia" w:ascii="新宋体" w:hAnsi="新宋体" w:eastAsia="新宋体"/>
          <w:sz w:val="22"/>
          <w:szCs w:val="22"/>
        </w:rPr>
        <w:t>投标人代表（签字）：</w:t>
      </w:r>
    </w:p>
    <w:p w14:paraId="00B275BE">
      <w:pPr>
        <w:spacing w:line="380" w:lineRule="exact"/>
        <w:ind w:firstLine="4400" w:firstLineChars="2000"/>
        <w:rPr>
          <w:rFonts w:ascii="新宋体" w:hAnsi="新宋体" w:eastAsia="新宋体"/>
          <w:sz w:val="22"/>
          <w:szCs w:val="22"/>
        </w:rPr>
      </w:pPr>
      <w:r>
        <w:rPr>
          <w:rFonts w:hint="eastAsia" w:ascii="新宋体" w:hAnsi="新宋体" w:eastAsia="新宋体"/>
          <w:sz w:val="22"/>
          <w:szCs w:val="22"/>
        </w:rPr>
        <w:t xml:space="preserve">日  期： </w:t>
      </w:r>
    </w:p>
    <w:p w14:paraId="42B66FF5">
      <w:pPr>
        <w:spacing w:line="380" w:lineRule="exact"/>
        <w:outlineLvl w:val="1"/>
        <w:rPr>
          <w:rFonts w:ascii="新宋体" w:hAnsi="新宋体" w:eastAsia="新宋体"/>
          <w:b/>
          <w:bCs/>
          <w:sz w:val="22"/>
          <w:szCs w:val="22"/>
        </w:rPr>
      </w:pPr>
    </w:p>
    <w:p w14:paraId="1501E205">
      <w:pPr>
        <w:spacing w:line="380" w:lineRule="exact"/>
        <w:outlineLvl w:val="1"/>
        <w:rPr>
          <w:rFonts w:ascii="新宋体" w:hAnsi="新宋体" w:eastAsia="新宋体"/>
          <w:b/>
          <w:bCs/>
          <w:sz w:val="22"/>
          <w:szCs w:val="22"/>
        </w:rPr>
      </w:pPr>
    </w:p>
    <w:p w14:paraId="27ABC4AC">
      <w:pPr>
        <w:spacing w:line="360" w:lineRule="auto"/>
        <w:jc w:val="left"/>
        <w:rPr>
          <w:rFonts w:ascii="宋体" w:hAnsi="宋体" w:cs="Courier New"/>
          <w:b/>
          <w:bCs/>
          <w:sz w:val="24"/>
        </w:rPr>
      </w:pPr>
      <w:r>
        <w:rPr>
          <w:rFonts w:hint="eastAsia" w:ascii="宋体" w:hAnsi="宋体" w:cs="Courier New"/>
          <w:bCs/>
          <w:sz w:val="24"/>
        </w:rPr>
        <w:t>附件五：</w:t>
      </w:r>
    </w:p>
    <w:p w14:paraId="5DF971BD">
      <w:pPr>
        <w:spacing w:line="360" w:lineRule="auto"/>
        <w:jc w:val="center"/>
        <w:rPr>
          <w:rFonts w:ascii="宋体" w:hAnsi="宋体" w:cs="Courier New"/>
          <w:b/>
          <w:bCs/>
          <w:sz w:val="36"/>
          <w:szCs w:val="36"/>
        </w:rPr>
      </w:pPr>
      <w:r>
        <w:rPr>
          <w:rFonts w:hint="eastAsia" w:ascii="宋体" w:hAnsi="宋体" w:cs="Courier New"/>
          <w:b/>
          <w:bCs/>
          <w:sz w:val="36"/>
          <w:szCs w:val="36"/>
        </w:rPr>
        <w:t>投标报价单</w:t>
      </w:r>
    </w:p>
    <w:p w14:paraId="5CB4916A">
      <w:pPr>
        <w:spacing w:line="360" w:lineRule="auto"/>
        <w:rPr>
          <w:rFonts w:ascii="宋体" w:hAnsi="宋体"/>
          <w:b/>
          <w:bCs/>
          <w:sz w:val="24"/>
        </w:rPr>
      </w:pPr>
      <w:r>
        <w:rPr>
          <w:rFonts w:hint="eastAsia" w:ascii="宋体" w:hAnsi="宋体" w:cs="Arial"/>
          <w:sz w:val="24"/>
        </w:rPr>
        <w:t>项目名称</w:t>
      </w:r>
      <w:r>
        <w:rPr>
          <w:rFonts w:ascii="宋体" w:hAnsi="宋体" w:cs="Arial"/>
          <w:sz w:val="24"/>
        </w:rPr>
        <w:t xml:space="preserve">：   </w:t>
      </w:r>
      <w:r>
        <w:rPr>
          <w:rFonts w:ascii="宋体" w:hAnsi="宋体" w:cs="Arial"/>
          <w:bCs/>
          <w:sz w:val="24"/>
        </w:rPr>
        <w:t xml:space="preserve">        </w:t>
      </w:r>
      <w:r>
        <w:rPr>
          <w:rFonts w:hint="eastAsia" w:ascii="宋体" w:hAnsi="宋体" w:cs="Arial"/>
          <w:sz w:val="24"/>
        </w:rPr>
        <w:t xml:space="preserve">                  </w:t>
      </w:r>
      <w:r>
        <w:rPr>
          <w:rFonts w:ascii="宋体" w:hAnsi="宋体" w:cs="Arial"/>
          <w:sz w:val="24"/>
        </w:rPr>
        <w:t>（价格单位：人民币元）</w:t>
      </w:r>
    </w:p>
    <w:tbl>
      <w:tblPr>
        <w:tblStyle w:val="18"/>
        <w:tblpPr w:leftFromText="180" w:rightFromText="180" w:vertAnchor="text" w:horzAnchor="page" w:tblpX="1212" w:tblpY="133"/>
        <w:tblOverlap w:val="never"/>
        <w:tblW w:w="9818" w:type="dxa"/>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517"/>
        <w:gridCol w:w="1008"/>
        <w:gridCol w:w="2304"/>
        <w:gridCol w:w="1525"/>
        <w:gridCol w:w="1491"/>
        <w:gridCol w:w="1458"/>
        <w:gridCol w:w="1515"/>
      </w:tblGrid>
      <w:tr w14:paraId="6518E6A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99" w:hRule="atLeast"/>
        </w:trPr>
        <w:tc>
          <w:tcPr>
            <w:tcW w:w="517" w:type="dxa"/>
            <w:vAlign w:val="center"/>
          </w:tcPr>
          <w:p w14:paraId="21059BAF">
            <w:pPr>
              <w:spacing w:line="360" w:lineRule="auto"/>
              <w:jc w:val="center"/>
              <w:rPr>
                <w:rFonts w:ascii="宋体" w:hAnsi="宋体" w:cs="hakuyoxingshu7000"/>
                <w:b/>
                <w:bCs/>
                <w:sz w:val="24"/>
              </w:rPr>
            </w:pPr>
            <w:r>
              <w:rPr>
                <w:rFonts w:hint="eastAsia" w:ascii="宋体" w:hAnsi="宋体" w:cs="hakuyoxingshu7000"/>
                <w:b/>
                <w:bCs/>
                <w:sz w:val="24"/>
              </w:rPr>
              <w:t>序号</w:t>
            </w:r>
          </w:p>
        </w:tc>
        <w:tc>
          <w:tcPr>
            <w:tcW w:w="1008" w:type="dxa"/>
            <w:vAlign w:val="center"/>
          </w:tcPr>
          <w:p w14:paraId="436A6EF8">
            <w:pPr>
              <w:spacing w:line="360" w:lineRule="auto"/>
              <w:jc w:val="center"/>
              <w:rPr>
                <w:rFonts w:ascii="宋体" w:hAnsi="宋体" w:cs="hakuyoxingshu7000"/>
                <w:b/>
                <w:bCs/>
                <w:sz w:val="24"/>
              </w:rPr>
            </w:pPr>
            <w:r>
              <w:rPr>
                <w:rFonts w:hint="eastAsia" w:ascii="宋体" w:hAnsi="宋体" w:cs="hakuyoxingshu7000"/>
                <w:b/>
                <w:bCs/>
                <w:sz w:val="24"/>
              </w:rPr>
              <w:t>项目内容</w:t>
            </w:r>
          </w:p>
        </w:tc>
        <w:tc>
          <w:tcPr>
            <w:tcW w:w="2304" w:type="dxa"/>
            <w:vAlign w:val="center"/>
          </w:tcPr>
          <w:p w14:paraId="1C89820E">
            <w:pPr>
              <w:spacing w:line="360" w:lineRule="auto"/>
              <w:jc w:val="center"/>
              <w:rPr>
                <w:rFonts w:ascii="宋体" w:hAnsi="宋体" w:cs="hakuyoxingshu7000"/>
                <w:b/>
                <w:bCs/>
                <w:sz w:val="24"/>
              </w:rPr>
            </w:pPr>
            <w:r>
              <w:rPr>
                <w:rFonts w:hint="eastAsia" w:ascii="宋体" w:hAnsi="宋体" w:cs="hakuyoxingshu7000"/>
                <w:b/>
                <w:bCs/>
                <w:sz w:val="24"/>
              </w:rPr>
              <w:t>品牌、型号、规格</w:t>
            </w:r>
          </w:p>
        </w:tc>
        <w:tc>
          <w:tcPr>
            <w:tcW w:w="1525" w:type="dxa"/>
            <w:vAlign w:val="center"/>
          </w:tcPr>
          <w:p w14:paraId="245C41C5">
            <w:pPr>
              <w:spacing w:line="360" w:lineRule="auto"/>
              <w:jc w:val="center"/>
              <w:rPr>
                <w:rFonts w:ascii="宋体" w:hAnsi="宋体" w:cs="hakuyoxingshu7000"/>
                <w:b/>
                <w:bCs/>
                <w:sz w:val="24"/>
              </w:rPr>
            </w:pPr>
            <w:r>
              <w:rPr>
                <w:rFonts w:hint="eastAsia" w:ascii="宋体" w:hAnsi="宋体" w:cs="hakuyoxingshu7000"/>
                <w:b/>
                <w:bCs/>
                <w:sz w:val="24"/>
              </w:rPr>
              <w:t>数量</w:t>
            </w:r>
          </w:p>
        </w:tc>
        <w:tc>
          <w:tcPr>
            <w:tcW w:w="1491" w:type="dxa"/>
            <w:vAlign w:val="center"/>
          </w:tcPr>
          <w:p w14:paraId="3E15C47B">
            <w:pPr>
              <w:spacing w:line="360" w:lineRule="auto"/>
              <w:jc w:val="center"/>
              <w:rPr>
                <w:rFonts w:ascii="宋体" w:hAnsi="宋体" w:cs="hakuyoxingshu7000"/>
                <w:b/>
                <w:bCs/>
                <w:sz w:val="24"/>
              </w:rPr>
            </w:pPr>
            <w:r>
              <w:rPr>
                <w:rFonts w:hint="eastAsia" w:ascii="宋体" w:hAnsi="宋体" w:cs="hakuyoxingshu7000"/>
                <w:b/>
                <w:bCs/>
                <w:sz w:val="24"/>
              </w:rPr>
              <w:t>单价</w:t>
            </w:r>
          </w:p>
        </w:tc>
        <w:tc>
          <w:tcPr>
            <w:tcW w:w="1458" w:type="dxa"/>
            <w:vAlign w:val="center"/>
          </w:tcPr>
          <w:p w14:paraId="23F99DD1">
            <w:pPr>
              <w:spacing w:line="360" w:lineRule="auto"/>
              <w:jc w:val="center"/>
              <w:rPr>
                <w:rFonts w:ascii="宋体" w:hAnsi="宋体" w:cs="hakuyoxingshu7000"/>
                <w:b/>
                <w:bCs/>
                <w:sz w:val="24"/>
              </w:rPr>
            </w:pPr>
            <w:r>
              <w:rPr>
                <w:rFonts w:hint="eastAsia" w:ascii="宋体" w:hAnsi="宋体" w:cs="hakuyoxingshu7000"/>
                <w:b/>
                <w:bCs/>
                <w:sz w:val="24"/>
              </w:rPr>
              <w:t>金额</w:t>
            </w:r>
          </w:p>
        </w:tc>
        <w:tc>
          <w:tcPr>
            <w:tcW w:w="1515" w:type="dxa"/>
            <w:vAlign w:val="center"/>
          </w:tcPr>
          <w:p w14:paraId="70B0D6CB">
            <w:pPr>
              <w:spacing w:line="360" w:lineRule="auto"/>
              <w:jc w:val="center"/>
              <w:rPr>
                <w:rFonts w:ascii="宋体" w:hAnsi="宋体" w:cs="hakuyoxingshu7000"/>
                <w:b/>
                <w:bCs/>
                <w:sz w:val="24"/>
              </w:rPr>
            </w:pPr>
            <w:r>
              <w:rPr>
                <w:rFonts w:hint="eastAsia" w:ascii="宋体" w:hAnsi="宋体" w:cs="hakuyoxingshu7000"/>
                <w:b/>
                <w:bCs/>
                <w:sz w:val="24"/>
              </w:rPr>
              <w:t>备注</w:t>
            </w:r>
          </w:p>
        </w:tc>
      </w:tr>
      <w:tr w14:paraId="34E794E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57B69F95">
            <w:pPr>
              <w:spacing w:line="360" w:lineRule="auto"/>
              <w:jc w:val="center"/>
              <w:rPr>
                <w:rFonts w:ascii="宋体" w:hAnsi="宋体" w:cs="hakuyoxingshu7000"/>
                <w:bCs/>
                <w:sz w:val="24"/>
              </w:rPr>
            </w:pPr>
            <w:r>
              <w:rPr>
                <w:rFonts w:hint="eastAsia" w:ascii="宋体" w:hAnsi="宋体" w:cs="hakuyoxingshu7000"/>
                <w:bCs/>
                <w:sz w:val="24"/>
              </w:rPr>
              <w:t>1</w:t>
            </w:r>
          </w:p>
        </w:tc>
        <w:tc>
          <w:tcPr>
            <w:tcW w:w="1008" w:type="dxa"/>
            <w:vAlign w:val="center"/>
          </w:tcPr>
          <w:p w14:paraId="6E383F3E">
            <w:pPr>
              <w:spacing w:line="360" w:lineRule="auto"/>
              <w:rPr>
                <w:rFonts w:ascii="宋体" w:hAnsi="宋体" w:cs="hakuyoxingshu7000"/>
                <w:bCs/>
                <w:sz w:val="24"/>
              </w:rPr>
            </w:pPr>
          </w:p>
        </w:tc>
        <w:tc>
          <w:tcPr>
            <w:tcW w:w="2304" w:type="dxa"/>
            <w:vAlign w:val="center"/>
          </w:tcPr>
          <w:p w14:paraId="584EF199">
            <w:pPr>
              <w:spacing w:line="360" w:lineRule="auto"/>
              <w:rPr>
                <w:rFonts w:ascii="宋体" w:hAnsi="宋体" w:cs="hakuyoxingshu7000"/>
                <w:bCs/>
                <w:sz w:val="24"/>
              </w:rPr>
            </w:pPr>
          </w:p>
        </w:tc>
        <w:tc>
          <w:tcPr>
            <w:tcW w:w="1525" w:type="dxa"/>
            <w:vAlign w:val="center"/>
          </w:tcPr>
          <w:p w14:paraId="487C9B37">
            <w:pPr>
              <w:spacing w:line="360" w:lineRule="auto"/>
              <w:rPr>
                <w:rFonts w:ascii="宋体" w:hAnsi="宋体" w:cs="hakuyoxingshu7000"/>
                <w:bCs/>
                <w:sz w:val="24"/>
              </w:rPr>
            </w:pPr>
          </w:p>
        </w:tc>
        <w:tc>
          <w:tcPr>
            <w:tcW w:w="1491" w:type="dxa"/>
            <w:vAlign w:val="center"/>
          </w:tcPr>
          <w:p w14:paraId="1CB30D8D">
            <w:pPr>
              <w:spacing w:line="360" w:lineRule="auto"/>
              <w:rPr>
                <w:rFonts w:ascii="宋体" w:hAnsi="宋体" w:cs="hakuyoxingshu7000"/>
                <w:b/>
                <w:bCs/>
                <w:sz w:val="24"/>
              </w:rPr>
            </w:pPr>
          </w:p>
        </w:tc>
        <w:tc>
          <w:tcPr>
            <w:tcW w:w="1458" w:type="dxa"/>
            <w:vAlign w:val="center"/>
          </w:tcPr>
          <w:p w14:paraId="704A508A">
            <w:pPr>
              <w:spacing w:line="360" w:lineRule="auto"/>
              <w:rPr>
                <w:rFonts w:ascii="宋体" w:hAnsi="宋体" w:cs="hakuyoxingshu7000"/>
                <w:b/>
                <w:bCs/>
                <w:sz w:val="24"/>
              </w:rPr>
            </w:pPr>
          </w:p>
        </w:tc>
        <w:tc>
          <w:tcPr>
            <w:tcW w:w="1515" w:type="dxa"/>
            <w:vAlign w:val="center"/>
          </w:tcPr>
          <w:p w14:paraId="101FA150">
            <w:pPr>
              <w:spacing w:line="360" w:lineRule="auto"/>
              <w:rPr>
                <w:rFonts w:ascii="宋体" w:hAnsi="宋体" w:cs="hakuyoxingshu7000"/>
                <w:b/>
                <w:bCs/>
                <w:sz w:val="24"/>
              </w:rPr>
            </w:pPr>
          </w:p>
        </w:tc>
      </w:tr>
      <w:tr w14:paraId="78A3029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4DBDADF4">
            <w:pPr>
              <w:spacing w:line="360" w:lineRule="auto"/>
              <w:jc w:val="center"/>
              <w:rPr>
                <w:rFonts w:ascii="宋体" w:hAnsi="宋体" w:cs="hakuyoxingshu7000"/>
                <w:bCs/>
                <w:sz w:val="24"/>
              </w:rPr>
            </w:pPr>
            <w:r>
              <w:rPr>
                <w:rFonts w:hint="eastAsia" w:ascii="宋体" w:hAnsi="宋体" w:cs="hakuyoxingshu7000"/>
                <w:bCs/>
                <w:sz w:val="24"/>
              </w:rPr>
              <w:t>2</w:t>
            </w:r>
          </w:p>
        </w:tc>
        <w:tc>
          <w:tcPr>
            <w:tcW w:w="1008" w:type="dxa"/>
            <w:vAlign w:val="center"/>
          </w:tcPr>
          <w:p w14:paraId="025B00ED">
            <w:pPr>
              <w:spacing w:line="360" w:lineRule="auto"/>
              <w:rPr>
                <w:rFonts w:ascii="宋体" w:hAnsi="宋体" w:cs="hakuyoxingshu7000"/>
                <w:bCs/>
                <w:sz w:val="24"/>
              </w:rPr>
            </w:pPr>
          </w:p>
        </w:tc>
        <w:tc>
          <w:tcPr>
            <w:tcW w:w="2304" w:type="dxa"/>
            <w:vAlign w:val="center"/>
          </w:tcPr>
          <w:p w14:paraId="2953C44F">
            <w:pPr>
              <w:spacing w:line="360" w:lineRule="auto"/>
              <w:rPr>
                <w:rFonts w:ascii="宋体" w:hAnsi="宋体" w:cs="hakuyoxingshu7000"/>
                <w:bCs/>
                <w:sz w:val="24"/>
              </w:rPr>
            </w:pPr>
          </w:p>
        </w:tc>
        <w:tc>
          <w:tcPr>
            <w:tcW w:w="1525" w:type="dxa"/>
            <w:vAlign w:val="center"/>
          </w:tcPr>
          <w:p w14:paraId="4C44FE28">
            <w:pPr>
              <w:spacing w:line="360" w:lineRule="auto"/>
              <w:rPr>
                <w:rFonts w:ascii="宋体" w:hAnsi="宋体" w:cs="hakuyoxingshu7000"/>
                <w:bCs/>
                <w:sz w:val="24"/>
              </w:rPr>
            </w:pPr>
          </w:p>
        </w:tc>
        <w:tc>
          <w:tcPr>
            <w:tcW w:w="1491" w:type="dxa"/>
            <w:vAlign w:val="center"/>
          </w:tcPr>
          <w:p w14:paraId="56EB844C">
            <w:pPr>
              <w:spacing w:line="360" w:lineRule="auto"/>
              <w:rPr>
                <w:rFonts w:ascii="宋体" w:hAnsi="宋体" w:cs="hakuyoxingshu7000"/>
                <w:b/>
                <w:bCs/>
                <w:sz w:val="24"/>
              </w:rPr>
            </w:pPr>
          </w:p>
        </w:tc>
        <w:tc>
          <w:tcPr>
            <w:tcW w:w="1458" w:type="dxa"/>
            <w:vAlign w:val="center"/>
          </w:tcPr>
          <w:p w14:paraId="02414195">
            <w:pPr>
              <w:spacing w:line="360" w:lineRule="auto"/>
              <w:rPr>
                <w:rFonts w:ascii="宋体" w:hAnsi="宋体" w:cs="hakuyoxingshu7000"/>
                <w:b/>
                <w:bCs/>
                <w:sz w:val="24"/>
              </w:rPr>
            </w:pPr>
          </w:p>
        </w:tc>
        <w:tc>
          <w:tcPr>
            <w:tcW w:w="1515" w:type="dxa"/>
            <w:vAlign w:val="center"/>
          </w:tcPr>
          <w:p w14:paraId="6A1DCC45">
            <w:pPr>
              <w:spacing w:line="360" w:lineRule="auto"/>
              <w:rPr>
                <w:rFonts w:ascii="宋体" w:hAnsi="宋体" w:cs="hakuyoxingshu7000"/>
                <w:b/>
                <w:bCs/>
                <w:sz w:val="24"/>
              </w:rPr>
            </w:pPr>
          </w:p>
        </w:tc>
      </w:tr>
      <w:tr w14:paraId="18131AA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41DF80A4">
            <w:pPr>
              <w:spacing w:line="360" w:lineRule="auto"/>
              <w:jc w:val="center"/>
              <w:rPr>
                <w:rFonts w:ascii="宋体" w:hAnsi="宋体" w:cs="hakuyoxingshu7000"/>
                <w:bCs/>
                <w:sz w:val="24"/>
              </w:rPr>
            </w:pPr>
            <w:r>
              <w:rPr>
                <w:rFonts w:hint="eastAsia" w:ascii="宋体" w:hAnsi="宋体" w:cs="hakuyoxingshu7000"/>
                <w:bCs/>
                <w:sz w:val="24"/>
              </w:rPr>
              <w:t>3</w:t>
            </w:r>
          </w:p>
        </w:tc>
        <w:tc>
          <w:tcPr>
            <w:tcW w:w="1008" w:type="dxa"/>
            <w:vAlign w:val="center"/>
          </w:tcPr>
          <w:p w14:paraId="6CA52491">
            <w:pPr>
              <w:spacing w:line="360" w:lineRule="auto"/>
              <w:rPr>
                <w:rFonts w:ascii="宋体" w:hAnsi="宋体" w:cs="hakuyoxingshu7000"/>
                <w:bCs/>
                <w:sz w:val="24"/>
              </w:rPr>
            </w:pPr>
          </w:p>
        </w:tc>
        <w:tc>
          <w:tcPr>
            <w:tcW w:w="2304" w:type="dxa"/>
            <w:vAlign w:val="center"/>
          </w:tcPr>
          <w:p w14:paraId="6F6EED04">
            <w:pPr>
              <w:spacing w:line="360" w:lineRule="auto"/>
              <w:rPr>
                <w:rFonts w:ascii="宋体" w:hAnsi="宋体" w:cs="hakuyoxingshu7000"/>
                <w:bCs/>
                <w:sz w:val="24"/>
              </w:rPr>
            </w:pPr>
          </w:p>
        </w:tc>
        <w:tc>
          <w:tcPr>
            <w:tcW w:w="1525" w:type="dxa"/>
            <w:vAlign w:val="center"/>
          </w:tcPr>
          <w:p w14:paraId="37A30D69">
            <w:pPr>
              <w:spacing w:line="360" w:lineRule="auto"/>
              <w:rPr>
                <w:rFonts w:ascii="宋体" w:hAnsi="宋体" w:cs="hakuyoxingshu7000"/>
                <w:bCs/>
                <w:sz w:val="24"/>
              </w:rPr>
            </w:pPr>
          </w:p>
        </w:tc>
        <w:tc>
          <w:tcPr>
            <w:tcW w:w="1491" w:type="dxa"/>
            <w:vAlign w:val="center"/>
          </w:tcPr>
          <w:p w14:paraId="31840FE0">
            <w:pPr>
              <w:spacing w:line="360" w:lineRule="auto"/>
              <w:rPr>
                <w:rFonts w:ascii="宋体" w:hAnsi="宋体" w:cs="hakuyoxingshu7000"/>
                <w:b/>
                <w:bCs/>
                <w:sz w:val="24"/>
              </w:rPr>
            </w:pPr>
          </w:p>
        </w:tc>
        <w:tc>
          <w:tcPr>
            <w:tcW w:w="1458" w:type="dxa"/>
            <w:vAlign w:val="center"/>
          </w:tcPr>
          <w:p w14:paraId="1A91A371">
            <w:pPr>
              <w:spacing w:line="360" w:lineRule="auto"/>
              <w:rPr>
                <w:rFonts w:ascii="宋体" w:hAnsi="宋体" w:cs="hakuyoxingshu7000"/>
                <w:b/>
                <w:bCs/>
                <w:sz w:val="24"/>
              </w:rPr>
            </w:pPr>
          </w:p>
        </w:tc>
        <w:tc>
          <w:tcPr>
            <w:tcW w:w="1515" w:type="dxa"/>
            <w:vAlign w:val="center"/>
          </w:tcPr>
          <w:p w14:paraId="5AE2C45B">
            <w:pPr>
              <w:spacing w:line="360" w:lineRule="auto"/>
              <w:rPr>
                <w:rFonts w:ascii="宋体" w:hAnsi="宋体" w:cs="hakuyoxingshu7000"/>
                <w:b/>
                <w:bCs/>
                <w:sz w:val="24"/>
              </w:rPr>
            </w:pPr>
          </w:p>
        </w:tc>
      </w:tr>
      <w:tr w14:paraId="6E6C2BA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3269820E">
            <w:pPr>
              <w:spacing w:line="360" w:lineRule="auto"/>
              <w:jc w:val="center"/>
              <w:rPr>
                <w:rFonts w:ascii="宋体" w:hAnsi="宋体" w:cs="hakuyoxingshu7000"/>
                <w:bCs/>
                <w:sz w:val="24"/>
              </w:rPr>
            </w:pPr>
            <w:r>
              <w:rPr>
                <w:rFonts w:hint="eastAsia" w:ascii="宋体" w:hAnsi="宋体" w:cs="hakuyoxingshu7000"/>
                <w:bCs/>
                <w:sz w:val="24"/>
              </w:rPr>
              <w:t>4</w:t>
            </w:r>
          </w:p>
        </w:tc>
        <w:tc>
          <w:tcPr>
            <w:tcW w:w="1008" w:type="dxa"/>
            <w:vAlign w:val="center"/>
          </w:tcPr>
          <w:p w14:paraId="24A258BD">
            <w:pPr>
              <w:spacing w:line="360" w:lineRule="auto"/>
              <w:rPr>
                <w:rFonts w:ascii="宋体" w:hAnsi="宋体" w:cs="hakuyoxingshu7000"/>
                <w:bCs/>
                <w:sz w:val="24"/>
              </w:rPr>
            </w:pPr>
          </w:p>
        </w:tc>
        <w:tc>
          <w:tcPr>
            <w:tcW w:w="2304" w:type="dxa"/>
            <w:vAlign w:val="center"/>
          </w:tcPr>
          <w:p w14:paraId="5A6D7BF4">
            <w:pPr>
              <w:spacing w:line="360" w:lineRule="auto"/>
              <w:rPr>
                <w:rFonts w:ascii="宋体" w:hAnsi="宋体" w:cs="hakuyoxingshu7000"/>
                <w:bCs/>
                <w:sz w:val="24"/>
              </w:rPr>
            </w:pPr>
          </w:p>
        </w:tc>
        <w:tc>
          <w:tcPr>
            <w:tcW w:w="1525" w:type="dxa"/>
            <w:vAlign w:val="center"/>
          </w:tcPr>
          <w:p w14:paraId="415F03B5">
            <w:pPr>
              <w:spacing w:line="360" w:lineRule="auto"/>
              <w:rPr>
                <w:rFonts w:ascii="宋体" w:hAnsi="宋体" w:cs="hakuyoxingshu7000"/>
                <w:bCs/>
                <w:sz w:val="24"/>
              </w:rPr>
            </w:pPr>
          </w:p>
        </w:tc>
        <w:tc>
          <w:tcPr>
            <w:tcW w:w="1491" w:type="dxa"/>
            <w:vAlign w:val="center"/>
          </w:tcPr>
          <w:p w14:paraId="448B9FAA">
            <w:pPr>
              <w:spacing w:line="360" w:lineRule="auto"/>
              <w:rPr>
                <w:rFonts w:ascii="宋体" w:hAnsi="宋体" w:cs="hakuyoxingshu7000"/>
                <w:b/>
                <w:bCs/>
                <w:sz w:val="24"/>
              </w:rPr>
            </w:pPr>
          </w:p>
        </w:tc>
        <w:tc>
          <w:tcPr>
            <w:tcW w:w="1458" w:type="dxa"/>
            <w:vAlign w:val="center"/>
          </w:tcPr>
          <w:p w14:paraId="20DEEE85">
            <w:pPr>
              <w:spacing w:line="360" w:lineRule="auto"/>
              <w:rPr>
                <w:rFonts w:ascii="宋体" w:hAnsi="宋体" w:cs="hakuyoxingshu7000"/>
                <w:b/>
                <w:bCs/>
                <w:sz w:val="24"/>
              </w:rPr>
            </w:pPr>
          </w:p>
        </w:tc>
        <w:tc>
          <w:tcPr>
            <w:tcW w:w="1515" w:type="dxa"/>
            <w:vAlign w:val="center"/>
          </w:tcPr>
          <w:p w14:paraId="5D245A06">
            <w:pPr>
              <w:spacing w:line="360" w:lineRule="auto"/>
              <w:rPr>
                <w:rFonts w:ascii="宋体" w:hAnsi="宋体" w:cs="hakuyoxingshu7000"/>
                <w:b/>
                <w:bCs/>
                <w:sz w:val="24"/>
              </w:rPr>
            </w:pPr>
          </w:p>
        </w:tc>
      </w:tr>
      <w:tr w14:paraId="36DDB70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0D0D644D">
            <w:pPr>
              <w:spacing w:line="360" w:lineRule="auto"/>
              <w:jc w:val="center"/>
              <w:rPr>
                <w:rFonts w:ascii="宋体" w:hAnsi="宋体" w:cs="hakuyoxingshu7000"/>
                <w:bCs/>
                <w:sz w:val="24"/>
              </w:rPr>
            </w:pPr>
            <w:r>
              <w:rPr>
                <w:rFonts w:hint="eastAsia" w:ascii="宋体" w:hAnsi="宋体" w:cs="hakuyoxingshu7000"/>
                <w:bCs/>
                <w:sz w:val="24"/>
              </w:rPr>
              <w:t>5</w:t>
            </w:r>
          </w:p>
        </w:tc>
        <w:tc>
          <w:tcPr>
            <w:tcW w:w="1008" w:type="dxa"/>
            <w:vAlign w:val="center"/>
          </w:tcPr>
          <w:p w14:paraId="07495637">
            <w:pPr>
              <w:spacing w:line="360" w:lineRule="auto"/>
              <w:rPr>
                <w:rFonts w:ascii="宋体" w:hAnsi="宋体" w:cs="hakuyoxingshu7000"/>
                <w:bCs/>
                <w:sz w:val="24"/>
              </w:rPr>
            </w:pPr>
          </w:p>
        </w:tc>
        <w:tc>
          <w:tcPr>
            <w:tcW w:w="2304" w:type="dxa"/>
            <w:vAlign w:val="center"/>
          </w:tcPr>
          <w:p w14:paraId="33FFF48F">
            <w:pPr>
              <w:spacing w:line="360" w:lineRule="auto"/>
              <w:rPr>
                <w:rFonts w:ascii="宋体" w:hAnsi="宋体" w:cs="hakuyoxingshu7000"/>
                <w:bCs/>
                <w:sz w:val="24"/>
              </w:rPr>
            </w:pPr>
          </w:p>
        </w:tc>
        <w:tc>
          <w:tcPr>
            <w:tcW w:w="1525" w:type="dxa"/>
            <w:vAlign w:val="center"/>
          </w:tcPr>
          <w:p w14:paraId="794E03DD">
            <w:pPr>
              <w:spacing w:line="360" w:lineRule="auto"/>
              <w:rPr>
                <w:rFonts w:ascii="宋体" w:hAnsi="宋体" w:cs="hakuyoxingshu7000"/>
                <w:bCs/>
                <w:sz w:val="24"/>
              </w:rPr>
            </w:pPr>
          </w:p>
        </w:tc>
        <w:tc>
          <w:tcPr>
            <w:tcW w:w="1491" w:type="dxa"/>
            <w:vAlign w:val="center"/>
          </w:tcPr>
          <w:p w14:paraId="62FEAC7A">
            <w:pPr>
              <w:spacing w:line="360" w:lineRule="auto"/>
              <w:rPr>
                <w:rFonts w:ascii="宋体" w:hAnsi="宋体" w:cs="hakuyoxingshu7000"/>
                <w:b/>
                <w:bCs/>
                <w:sz w:val="24"/>
              </w:rPr>
            </w:pPr>
          </w:p>
        </w:tc>
        <w:tc>
          <w:tcPr>
            <w:tcW w:w="1458" w:type="dxa"/>
            <w:vAlign w:val="center"/>
          </w:tcPr>
          <w:p w14:paraId="1552ED17">
            <w:pPr>
              <w:spacing w:line="360" w:lineRule="auto"/>
              <w:rPr>
                <w:rFonts w:ascii="宋体" w:hAnsi="宋体" w:cs="hakuyoxingshu7000"/>
                <w:b/>
                <w:bCs/>
                <w:sz w:val="24"/>
              </w:rPr>
            </w:pPr>
          </w:p>
        </w:tc>
        <w:tc>
          <w:tcPr>
            <w:tcW w:w="1515" w:type="dxa"/>
            <w:vAlign w:val="center"/>
          </w:tcPr>
          <w:p w14:paraId="6410815F">
            <w:pPr>
              <w:spacing w:line="360" w:lineRule="auto"/>
              <w:rPr>
                <w:rFonts w:ascii="宋体" w:hAnsi="宋体" w:cs="hakuyoxingshu7000"/>
                <w:b/>
                <w:bCs/>
                <w:sz w:val="24"/>
              </w:rPr>
            </w:pPr>
          </w:p>
        </w:tc>
      </w:tr>
      <w:tr w14:paraId="1BC37F3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3474EB04">
            <w:pPr>
              <w:spacing w:line="360" w:lineRule="auto"/>
              <w:jc w:val="center"/>
              <w:rPr>
                <w:rFonts w:ascii="宋体" w:hAnsi="宋体" w:cs="hakuyoxingshu7000"/>
                <w:bCs/>
                <w:sz w:val="24"/>
              </w:rPr>
            </w:pPr>
            <w:r>
              <w:rPr>
                <w:rFonts w:hint="eastAsia" w:ascii="宋体" w:hAnsi="宋体" w:cs="hakuyoxingshu7000"/>
                <w:bCs/>
                <w:sz w:val="24"/>
              </w:rPr>
              <w:t>6</w:t>
            </w:r>
          </w:p>
        </w:tc>
        <w:tc>
          <w:tcPr>
            <w:tcW w:w="1008" w:type="dxa"/>
            <w:vAlign w:val="center"/>
          </w:tcPr>
          <w:p w14:paraId="40981366">
            <w:pPr>
              <w:spacing w:line="360" w:lineRule="auto"/>
              <w:rPr>
                <w:rFonts w:ascii="宋体" w:hAnsi="宋体" w:cs="hakuyoxingshu7000"/>
                <w:bCs/>
                <w:sz w:val="24"/>
              </w:rPr>
            </w:pPr>
          </w:p>
        </w:tc>
        <w:tc>
          <w:tcPr>
            <w:tcW w:w="2304" w:type="dxa"/>
            <w:vAlign w:val="center"/>
          </w:tcPr>
          <w:p w14:paraId="6CD165D6">
            <w:pPr>
              <w:spacing w:line="360" w:lineRule="auto"/>
              <w:rPr>
                <w:rFonts w:ascii="宋体" w:hAnsi="宋体" w:cs="hakuyoxingshu7000"/>
                <w:bCs/>
                <w:sz w:val="24"/>
              </w:rPr>
            </w:pPr>
          </w:p>
        </w:tc>
        <w:tc>
          <w:tcPr>
            <w:tcW w:w="1525" w:type="dxa"/>
            <w:vAlign w:val="center"/>
          </w:tcPr>
          <w:p w14:paraId="6FDC58E5">
            <w:pPr>
              <w:spacing w:line="360" w:lineRule="auto"/>
              <w:rPr>
                <w:rFonts w:ascii="宋体" w:hAnsi="宋体" w:cs="hakuyoxingshu7000"/>
                <w:bCs/>
                <w:sz w:val="24"/>
              </w:rPr>
            </w:pPr>
          </w:p>
        </w:tc>
        <w:tc>
          <w:tcPr>
            <w:tcW w:w="1491" w:type="dxa"/>
            <w:vAlign w:val="center"/>
          </w:tcPr>
          <w:p w14:paraId="772553E1">
            <w:pPr>
              <w:spacing w:line="360" w:lineRule="auto"/>
              <w:rPr>
                <w:rFonts w:ascii="宋体" w:hAnsi="宋体" w:cs="hakuyoxingshu7000"/>
                <w:b/>
                <w:bCs/>
                <w:sz w:val="24"/>
              </w:rPr>
            </w:pPr>
          </w:p>
        </w:tc>
        <w:tc>
          <w:tcPr>
            <w:tcW w:w="1458" w:type="dxa"/>
            <w:vAlign w:val="center"/>
          </w:tcPr>
          <w:p w14:paraId="5C0F5102">
            <w:pPr>
              <w:spacing w:line="360" w:lineRule="auto"/>
              <w:rPr>
                <w:rFonts w:ascii="宋体" w:hAnsi="宋体" w:cs="hakuyoxingshu7000"/>
                <w:b/>
                <w:bCs/>
                <w:sz w:val="24"/>
              </w:rPr>
            </w:pPr>
          </w:p>
        </w:tc>
        <w:tc>
          <w:tcPr>
            <w:tcW w:w="1515" w:type="dxa"/>
            <w:vAlign w:val="center"/>
          </w:tcPr>
          <w:p w14:paraId="5DFB519E">
            <w:pPr>
              <w:spacing w:line="360" w:lineRule="auto"/>
              <w:rPr>
                <w:rFonts w:ascii="宋体" w:hAnsi="宋体" w:cs="hakuyoxingshu7000"/>
                <w:b/>
                <w:bCs/>
                <w:sz w:val="24"/>
              </w:rPr>
            </w:pPr>
          </w:p>
        </w:tc>
      </w:tr>
      <w:tr w14:paraId="38A1A45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2EEC9BC8">
            <w:pPr>
              <w:spacing w:line="360" w:lineRule="auto"/>
              <w:jc w:val="center"/>
              <w:rPr>
                <w:rFonts w:ascii="宋体" w:hAnsi="宋体" w:cs="hakuyoxingshu7000"/>
                <w:bCs/>
                <w:sz w:val="24"/>
              </w:rPr>
            </w:pPr>
            <w:r>
              <w:rPr>
                <w:rFonts w:hint="eastAsia" w:ascii="宋体" w:hAnsi="宋体" w:cs="hakuyoxingshu7000"/>
                <w:bCs/>
                <w:sz w:val="24"/>
              </w:rPr>
              <w:t>7</w:t>
            </w:r>
          </w:p>
        </w:tc>
        <w:tc>
          <w:tcPr>
            <w:tcW w:w="1008" w:type="dxa"/>
            <w:vAlign w:val="center"/>
          </w:tcPr>
          <w:p w14:paraId="436E19B0">
            <w:pPr>
              <w:spacing w:line="360" w:lineRule="auto"/>
              <w:rPr>
                <w:rFonts w:ascii="宋体" w:hAnsi="宋体" w:cs="hakuyoxingshu7000"/>
                <w:bCs/>
                <w:sz w:val="24"/>
              </w:rPr>
            </w:pPr>
          </w:p>
        </w:tc>
        <w:tc>
          <w:tcPr>
            <w:tcW w:w="2304" w:type="dxa"/>
            <w:vAlign w:val="center"/>
          </w:tcPr>
          <w:p w14:paraId="7D2BECB6">
            <w:pPr>
              <w:spacing w:line="360" w:lineRule="auto"/>
              <w:rPr>
                <w:rFonts w:ascii="宋体" w:hAnsi="宋体" w:cs="hakuyoxingshu7000"/>
                <w:bCs/>
                <w:sz w:val="24"/>
              </w:rPr>
            </w:pPr>
          </w:p>
        </w:tc>
        <w:tc>
          <w:tcPr>
            <w:tcW w:w="1525" w:type="dxa"/>
            <w:vAlign w:val="center"/>
          </w:tcPr>
          <w:p w14:paraId="0815CE23">
            <w:pPr>
              <w:spacing w:line="360" w:lineRule="auto"/>
              <w:rPr>
                <w:rFonts w:ascii="宋体" w:hAnsi="宋体" w:cs="hakuyoxingshu7000"/>
                <w:bCs/>
                <w:sz w:val="24"/>
              </w:rPr>
            </w:pPr>
          </w:p>
        </w:tc>
        <w:tc>
          <w:tcPr>
            <w:tcW w:w="1491" w:type="dxa"/>
            <w:vAlign w:val="center"/>
          </w:tcPr>
          <w:p w14:paraId="244358CB">
            <w:pPr>
              <w:spacing w:line="360" w:lineRule="auto"/>
              <w:rPr>
                <w:rFonts w:ascii="宋体" w:hAnsi="宋体" w:cs="hakuyoxingshu7000"/>
                <w:b/>
                <w:bCs/>
                <w:sz w:val="24"/>
              </w:rPr>
            </w:pPr>
          </w:p>
        </w:tc>
        <w:tc>
          <w:tcPr>
            <w:tcW w:w="1458" w:type="dxa"/>
            <w:vAlign w:val="center"/>
          </w:tcPr>
          <w:p w14:paraId="6F0D493A">
            <w:pPr>
              <w:spacing w:line="360" w:lineRule="auto"/>
              <w:rPr>
                <w:rFonts w:ascii="宋体" w:hAnsi="宋体" w:cs="hakuyoxingshu7000"/>
                <w:b/>
                <w:bCs/>
                <w:sz w:val="24"/>
              </w:rPr>
            </w:pPr>
          </w:p>
        </w:tc>
        <w:tc>
          <w:tcPr>
            <w:tcW w:w="1515" w:type="dxa"/>
            <w:vAlign w:val="center"/>
          </w:tcPr>
          <w:p w14:paraId="22C0D9E3">
            <w:pPr>
              <w:spacing w:line="360" w:lineRule="auto"/>
              <w:rPr>
                <w:rFonts w:ascii="宋体" w:hAnsi="宋体" w:cs="hakuyoxingshu7000"/>
                <w:b/>
                <w:bCs/>
                <w:sz w:val="24"/>
              </w:rPr>
            </w:pPr>
          </w:p>
        </w:tc>
      </w:tr>
      <w:tr w14:paraId="3211579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35E4286A">
            <w:pPr>
              <w:spacing w:line="360" w:lineRule="auto"/>
              <w:jc w:val="center"/>
              <w:rPr>
                <w:rFonts w:ascii="宋体" w:hAnsi="宋体" w:cs="hakuyoxingshu7000"/>
                <w:bCs/>
                <w:sz w:val="24"/>
              </w:rPr>
            </w:pPr>
            <w:r>
              <w:rPr>
                <w:rFonts w:hint="eastAsia" w:ascii="宋体" w:hAnsi="宋体" w:cs="hakuyoxingshu7000"/>
                <w:bCs/>
                <w:sz w:val="24"/>
              </w:rPr>
              <w:t>8</w:t>
            </w:r>
          </w:p>
        </w:tc>
        <w:tc>
          <w:tcPr>
            <w:tcW w:w="1008" w:type="dxa"/>
            <w:vAlign w:val="center"/>
          </w:tcPr>
          <w:p w14:paraId="7A743047">
            <w:pPr>
              <w:spacing w:line="360" w:lineRule="auto"/>
              <w:jc w:val="center"/>
              <w:rPr>
                <w:rFonts w:ascii="宋体" w:hAnsi="宋体" w:cs="hakuyoxingshu7000"/>
                <w:b/>
                <w:bCs/>
                <w:sz w:val="24"/>
              </w:rPr>
            </w:pPr>
          </w:p>
        </w:tc>
        <w:tc>
          <w:tcPr>
            <w:tcW w:w="5320" w:type="dxa"/>
            <w:gridSpan w:val="3"/>
            <w:vAlign w:val="center"/>
          </w:tcPr>
          <w:p w14:paraId="3E51F10D">
            <w:pPr>
              <w:spacing w:line="360" w:lineRule="auto"/>
              <w:jc w:val="center"/>
              <w:rPr>
                <w:rFonts w:ascii="宋体" w:hAnsi="宋体" w:cs="hakuyoxingshu7000"/>
                <w:b/>
                <w:bCs/>
                <w:sz w:val="24"/>
              </w:rPr>
            </w:pPr>
            <w:r>
              <w:rPr>
                <w:rFonts w:hint="eastAsia" w:ascii="宋体" w:hAnsi="宋体" w:cs="hakuyoxingshu7000"/>
                <w:b/>
                <w:bCs/>
                <w:sz w:val="24"/>
              </w:rPr>
              <w:t>合计金额：</w:t>
            </w:r>
          </w:p>
        </w:tc>
        <w:tc>
          <w:tcPr>
            <w:tcW w:w="1458" w:type="dxa"/>
            <w:vAlign w:val="center"/>
          </w:tcPr>
          <w:p w14:paraId="0C83CAFB">
            <w:pPr>
              <w:spacing w:line="360" w:lineRule="auto"/>
              <w:rPr>
                <w:rFonts w:ascii="宋体" w:hAnsi="宋体" w:cs="hakuyoxingshu7000"/>
                <w:b/>
                <w:bCs/>
                <w:sz w:val="24"/>
              </w:rPr>
            </w:pPr>
          </w:p>
        </w:tc>
        <w:tc>
          <w:tcPr>
            <w:tcW w:w="1515" w:type="dxa"/>
            <w:vAlign w:val="center"/>
          </w:tcPr>
          <w:p w14:paraId="09630431">
            <w:pPr>
              <w:spacing w:line="360" w:lineRule="auto"/>
              <w:rPr>
                <w:rFonts w:ascii="宋体" w:hAnsi="宋体" w:cs="hakuyoxingshu7000"/>
                <w:b/>
                <w:bCs/>
                <w:sz w:val="24"/>
              </w:rPr>
            </w:pPr>
          </w:p>
        </w:tc>
      </w:tr>
      <w:tr w14:paraId="0D9CBFE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00" w:hRule="atLeast"/>
        </w:trPr>
        <w:tc>
          <w:tcPr>
            <w:tcW w:w="1525" w:type="dxa"/>
            <w:gridSpan w:val="2"/>
            <w:vAlign w:val="center"/>
          </w:tcPr>
          <w:p w14:paraId="39D38D63">
            <w:pPr>
              <w:spacing w:line="360" w:lineRule="auto"/>
              <w:rPr>
                <w:rFonts w:ascii="宋体" w:hAnsi="宋体" w:cs="hakuyoxingshu7000"/>
                <w:b/>
                <w:bCs/>
                <w:sz w:val="24"/>
              </w:rPr>
            </w:pPr>
          </w:p>
        </w:tc>
        <w:tc>
          <w:tcPr>
            <w:tcW w:w="8293" w:type="dxa"/>
            <w:gridSpan w:val="5"/>
            <w:vAlign w:val="center"/>
          </w:tcPr>
          <w:p w14:paraId="5B397EFF">
            <w:pPr>
              <w:spacing w:line="360" w:lineRule="auto"/>
              <w:rPr>
                <w:rFonts w:ascii="宋体" w:hAnsi="宋体" w:cs="hakuyoxingshu7000"/>
                <w:b/>
                <w:bCs/>
                <w:sz w:val="24"/>
              </w:rPr>
            </w:pPr>
            <w:r>
              <w:rPr>
                <w:rFonts w:hint="eastAsia" w:ascii="宋体" w:hAnsi="宋体" w:cs="hakuyoxingshu7000"/>
                <w:b/>
                <w:bCs/>
                <w:sz w:val="24"/>
              </w:rPr>
              <w:t>合计投标报价（大写）：                             元人民币</w:t>
            </w:r>
          </w:p>
        </w:tc>
      </w:tr>
    </w:tbl>
    <w:p w14:paraId="4B19D83C">
      <w:pPr>
        <w:spacing w:line="360" w:lineRule="auto"/>
        <w:rPr>
          <w:rFonts w:ascii="宋体" w:hAnsi="宋体" w:cs="Arial"/>
          <w:b/>
          <w:bCs/>
          <w:sz w:val="24"/>
        </w:rPr>
      </w:pPr>
      <w:r>
        <w:rPr>
          <w:rFonts w:hint="eastAsia" w:ascii="新宋体" w:hAnsi="新宋体" w:eastAsia="新宋体"/>
          <w:b/>
          <w:sz w:val="24"/>
        </w:rPr>
        <w:t>说明：项目报价为完成该项目所需全部物品（包括所有安装配件）、货物的运输、安装、调试、相关税金，以及服务等全部费用，投标人应根据上述因素自行考虑含入投标报价。</w:t>
      </w:r>
    </w:p>
    <w:p w14:paraId="70A9907B">
      <w:pPr>
        <w:spacing w:line="360" w:lineRule="auto"/>
        <w:rPr>
          <w:rFonts w:ascii="宋体" w:hAnsi="宋体" w:cs="Arial"/>
          <w:b/>
          <w:bCs/>
          <w:sz w:val="24"/>
        </w:rPr>
      </w:pPr>
      <w:r>
        <w:rPr>
          <w:rFonts w:hint="eastAsia" w:ascii="宋体" w:hAnsi="宋体" w:cs="Arial"/>
          <w:b/>
          <w:bCs/>
          <w:sz w:val="24"/>
        </w:rPr>
        <w:t>报价清单请按预估数量×预估单价为总报价。</w:t>
      </w:r>
    </w:p>
    <w:p w14:paraId="0DB14BE1">
      <w:pPr>
        <w:spacing w:line="360" w:lineRule="auto"/>
        <w:rPr>
          <w:rFonts w:ascii="宋体" w:hAnsi="宋体" w:cs="Arial"/>
          <w:b/>
          <w:bCs/>
          <w:sz w:val="24"/>
        </w:rPr>
      </w:pPr>
    </w:p>
    <w:p w14:paraId="720A669C">
      <w:pPr>
        <w:spacing w:line="360" w:lineRule="auto"/>
        <w:ind w:right="-11" w:firstLine="240" w:firstLineChars="100"/>
        <w:rPr>
          <w:rFonts w:ascii="宋体" w:hAnsi="宋体" w:cs="Arial"/>
          <w:sz w:val="24"/>
        </w:rPr>
      </w:pPr>
      <w:r>
        <w:rPr>
          <w:rFonts w:hint="eastAsia" w:ascii="宋体" w:hAnsi="宋体" w:cs="Arial"/>
          <w:sz w:val="24"/>
        </w:rPr>
        <w:t>投标商全称</w:t>
      </w:r>
      <w:r>
        <w:rPr>
          <w:rFonts w:ascii="宋体" w:hAnsi="宋体" w:cs="Arial"/>
          <w:sz w:val="24"/>
        </w:rPr>
        <w:t>（公章）：</w:t>
      </w:r>
      <w:r>
        <w:rPr>
          <w:rFonts w:hint="eastAsia" w:ascii="宋体" w:hAnsi="宋体" w:cs="Arial"/>
          <w:sz w:val="24"/>
          <w:u w:val="single"/>
        </w:rPr>
        <w:t xml:space="preserve">                    </w:t>
      </w:r>
    </w:p>
    <w:p w14:paraId="5D2D9F65">
      <w:pPr>
        <w:spacing w:line="360" w:lineRule="auto"/>
        <w:rPr>
          <w:rFonts w:ascii="宋体" w:hAnsi="宋体"/>
          <w:sz w:val="24"/>
        </w:rPr>
      </w:pPr>
      <w:r>
        <w:rPr>
          <w:rFonts w:hint="eastAsia" w:ascii="宋体" w:hAnsi="宋体"/>
          <w:sz w:val="24"/>
        </w:rPr>
        <w:t xml:space="preserve">  </w:t>
      </w:r>
      <w:r>
        <w:rPr>
          <w:rFonts w:ascii="宋体" w:hAnsi="宋体"/>
          <w:sz w:val="24"/>
        </w:rPr>
        <w:t>日期：</w:t>
      </w:r>
      <w:r>
        <w:rPr>
          <w:rFonts w:hint="eastAsia" w:ascii="宋体" w:hAnsi="宋体"/>
          <w:sz w:val="24"/>
          <w:u w:val="single"/>
        </w:rPr>
        <w:t xml:space="preserve">               </w:t>
      </w:r>
    </w:p>
    <w:p w14:paraId="3480810A">
      <w:pPr>
        <w:spacing w:line="360" w:lineRule="auto"/>
        <w:rPr>
          <w:sz w:val="24"/>
        </w:rPr>
      </w:pPr>
    </w:p>
    <w:p w14:paraId="7A4DF3EC">
      <w:pPr>
        <w:widowControl/>
        <w:spacing w:line="360" w:lineRule="auto"/>
        <w:jc w:val="left"/>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楷体">
    <w:altName w:val="宋体"/>
    <w:panose1 w:val="02010600040101010101"/>
    <w:charset w:val="86"/>
    <w:family w:val="auto"/>
    <w:pitch w:val="default"/>
    <w:sig w:usb0="00000000" w:usb1="00000000" w:usb2="00000010" w:usb3="00000000" w:csb0="0004009F" w:csb1="00000000"/>
  </w:font>
  <w:font w:name="微软雅黑">
    <w:panose1 w:val="020B0503020204020204"/>
    <w:charset w:val="86"/>
    <w:family w:val="swiss"/>
    <w:pitch w:val="default"/>
    <w:sig w:usb0="80000287" w:usb1="280F3C52" w:usb2="00000016" w:usb3="00000000" w:csb0="0004001F" w:csb1="00000000"/>
  </w:font>
  <w:font w:name="新宋体">
    <w:panose1 w:val="02010609030101010101"/>
    <w:charset w:val="86"/>
    <w:family w:val="modern"/>
    <w:pitch w:val="default"/>
    <w:sig w:usb0="00000003" w:usb1="288F0000" w:usb2="00000006" w:usb3="00000000" w:csb0="00040001" w:csb1="00000000"/>
  </w:font>
  <w:font w:name=".PingFang SC">
    <w:altName w:val="Times New Roman"/>
    <w:panose1 w:val="00000000000000000000"/>
    <w:charset w:val="00"/>
    <w:family w:val="auto"/>
    <w:pitch w:val="default"/>
    <w:sig w:usb0="00000000" w:usb1="00000000" w:usb2="00000001" w:usb3="00000000" w:csb0="400001BF" w:csb1="DFF70000"/>
  </w:font>
  <w:font w:name="Segoe UI">
    <w:panose1 w:val="020B0502040204020203"/>
    <w:charset w:val="00"/>
    <w:family w:val="swiss"/>
    <w:pitch w:val="default"/>
    <w:sig w:usb0="E10022FF" w:usb1="C000E47F" w:usb2="00000029" w:usb3="00000000" w:csb0="200001DF" w:csb1="20000000"/>
  </w:font>
  <w:font w:name="hakuyoxingshu7000">
    <w:altName w:val="宋体"/>
    <w:panose1 w:val="00000000000000000000"/>
    <w:charset w:val="86"/>
    <w:family w:val="auto"/>
    <w:pitch w:val="default"/>
    <w:sig w:usb0="00000000" w:usb1="00000000" w:usb2="0000003F" w:usb3="00000000" w:csb0="603F00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52899EC"/>
    <w:multiLevelType w:val="singleLevel"/>
    <w:tmpl w:val="A52899EC"/>
    <w:lvl w:ilvl="0" w:tentative="0">
      <w:start w:val="1"/>
      <w:numFmt w:val="decimal"/>
      <w:suff w:val="nothing"/>
      <w:lvlText w:val="%1、"/>
      <w:lvlJc w:val="left"/>
    </w:lvl>
  </w:abstractNum>
  <w:abstractNum w:abstractNumId="1">
    <w:nsid w:val="FC00EF3E"/>
    <w:multiLevelType w:val="singleLevel"/>
    <w:tmpl w:val="FC00EF3E"/>
    <w:lvl w:ilvl="0" w:tentative="0">
      <w:start w:val="1"/>
      <w:numFmt w:val="chineseCounting"/>
      <w:suff w:val="nothing"/>
      <w:lvlText w:val="%1、"/>
      <w:lvlJc w:val="left"/>
      <w:rPr>
        <w:rFonts w:hint="eastAsia"/>
      </w:rPr>
    </w:lvl>
  </w:abstractNum>
  <w:abstractNum w:abstractNumId="2">
    <w:nsid w:val="00000001"/>
    <w:multiLevelType w:val="multilevel"/>
    <w:tmpl w:val="00000001"/>
    <w:lvl w:ilvl="0" w:tentative="0">
      <w:start w:val="1"/>
      <w:numFmt w:val="decimal"/>
      <w:lvlText w:val="%1、"/>
      <w:lvlJc w:val="left"/>
      <w:pPr>
        <w:tabs>
          <w:tab w:val="left" w:pos="360"/>
        </w:tabs>
        <w:ind w:left="36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3">
    <w:nsid w:val="5D497C9E"/>
    <w:multiLevelType w:val="multilevel"/>
    <w:tmpl w:val="5D497C9E"/>
    <w:lvl w:ilvl="0" w:tentative="0">
      <w:start w:val="1"/>
      <w:numFmt w:val="chineseCountingThousand"/>
      <w:pStyle w:val="2"/>
      <w:suff w:val="nothing"/>
      <w:lvlText w:val="第%1章"/>
      <w:lvlJc w:val="left"/>
      <w:pPr>
        <w:ind w:left="0" w:firstLine="0"/>
      </w:pPr>
      <w:rPr>
        <w:rFonts w:hint="default" w:ascii="Times New Roman" w:hAnsi="Times New Roman" w:eastAsia="黑体"/>
        <w:b/>
        <w:i w:val="0"/>
        <w:sz w:val="32"/>
        <w:szCs w:val="32"/>
      </w:rPr>
    </w:lvl>
    <w:lvl w:ilvl="1" w:tentative="0">
      <w:start w:val="1"/>
      <w:numFmt w:val="none"/>
      <w:suff w:val="nothing"/>
      <w:lvlText w:val=""/>
      <w:lvlJc w:val="left"/>
      <w:pPr>
        <w:ind w:left="0" w:firstLine="0"/>
      </w:pPr>
      <w:rPr>
        <w:rFonts w:hint="eastAsia"/>
      </w:rPr>
    </w:lvl>
    <w:lvl w:ilvl="2" w:tentative="0">
      <w:start w:val="1"/>
      <w:numFmt w:val="none"/>
      <w:suff w:val="nothing"/>
      <w:lvlText w:val=""/>
      <w:lvlJc w:val="left"/>
      <w:pPr>
        <w:ind w:left="0" w:firstLine="0"/>
      </w:pPr>
      <w:rPr>
        <w:rFonts w:hint="eastAsia"/>
      </w:rPr>
    </w:lvl>
    <w:lvl w:ilvl="3" w:tentative="0">
      <w:start w:val="1"/>
      <w:numFmt w:val="none"/>
      <w:suff w:val="nothing"/>
      <w:lvlText w:val=""/>
      <w:lvlJc w:val="left"/>
      <w:pPr>
        <w:ind w:left="0" w:firstLine="0"/>
      </w:pPr>
      <w:rPr>
        <w:rFonts w:hint="eastAsia"/>
      </w:rPr>
    </w:lvl>
    <w:lvl w:ilvl="4" w:tentative="0">
      <w:start w:val="1"/>
      <w:numFmt w:val="none"/>
      <w:suff w:val="nothing"/>
      <w:lvlText w:val=""/>
      <w:lvlJc w:val="left"/>
      <w:pPr>
        <w:ind w:left="0" w:firstLine="0"/>
      </w:pPr>
      <w:rPr>
        <w:rFonts w:hint="eastAsia"/>
      </w:rPr>
    </w:lvl>
    <w:lvl w:ilvl="5" w:tentative="0">
      <w:start w:val="1"/>
      <w:numFmt w:val="none"/>
      <w:suff w:val="nothing"/>
      <w:lvlText w:val=""/>
      <w:lvlJc w:val="left"/>
      <w:pPr>
        <w:ind w:left="0" w:firstLine="0"/>
      </w:pPr>
      <w:rPr>
        <w:rFonts w:hint="eastAsia"/>
      </w:rPr>
    </w:lvl>
    <w:lvl w:ilvl="6" w:tentative="0">
      <w:start w:val="1"/>
      <w:numFmt w:val="none"/>
      <w:suff w:val="nothing"/>
      <w:lvlText w:val=""/>
      <w:lvlJc w:val="left"/>
      <w:pPr>
        <w:ind w:left="0" w:firstLine="0"/>
      </w:pPr>
      <w:rPr>
        <w:rFonts w:hint="eastAsia"/>
      </w:rPr>
    </w:lvl>
    <w:lvl w:ilvl="7" w:tentative="0">
      <w:start w:val="1"/>
      <w:numFmt w:val="none"/>
      <w:suff w:val="nothing"/>
      <w:lvlText w:val=""/>
      <w:lvlJc w:val="left"/>
      <w:pPr>
        <w:ind w:left="0" w:firstLine="0"/>
      </w:pPr>
      <w:rPr>
        <w:rFonts w:hint="eastAsia"/>
      </w:rPr>
    </w:lvl>
    <w:lvl w:ilvl="8" w:tentative="0">
      <w:start w:val="1"/>
      <w:numFmt w:val="none"/>
      <w:suff w:val="nothing"/>
      <w:lvlText w:val=""/>
      <w:lvlJc w:val="left"/>
      <w:pPr>
        <w:ind w:left="0" w:firstLine="0"/>
      </w:pPr>
      <w:rPr>
        <w:rFonts w:hint="eastAsia"/>
      </w:r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Q1NWE4MzgzMzNiMjhmZmMxMDNlZjM0NGE0Mjk3N2MifQ=="/>
  </w:docVars>
  <w:rsids>
    <w:rsidRoot w:val="7E9D2BEE"/>
    <w:rsid w:val="00164318"/>
    <w:rsid w:val="003D4B84"/>
    <w:rsid w:val="00637288"/>
    <w:rsid w:val="006D0D95"/>
    <w:rsid w:val="008F65FF"/>
    <w:rsid w:val="00DE70E4"/>
    <w:rsid w:val="01735F55"/>
    <w:rsid w:val="01920F12"/>
    <w:rsid w:val="0217614B"/>
    <w:rsid w:val="02444CFE"/>
    <w:rsid w:val="02693733"/>
    <w:rsid w:val="02702D13"/>
    <w:rsid w:val="02AE55E9"/>
    <w:rsid w:val="031F6931"/>
    <w:rsid w:val="037F7C73"/>
    <w:rsid w:val="0399071A"/>
    <w:rsid w:val="03A32C74"/>
    <w:rsid w:val="03B81543"/>
    <w:rsid w:val="03BE5308"/>
    <w:rsid w:val="03F4702C"/>
    <w:rsid w:val="04137DFA"/>
    <w:rsid w:val="041E1407"/>
    <w:rsid w:val="043A5387"/>
    <w:rsid w:val="04581CB1"/>
    <w:rsid w:val="046805A7"/>
    <w:rsid w:val="046C7126"/>
    <w:rsid w:val="048177A5"/>
    <w:rsid w:val="05104339"/>
    <w:rsid w:val="05252DE6"/>
    <w:rsid w:val="054935FC"/>
    <w:rsid w:val="057D45C7"/>
    <w:rsid w:val="05B2719F"/>
    <w:rsid w:val="05D37841"/>
    <w:rsid w:val="05D610DF"/>
    <w:rsid w:val="063437DC"/>
    <w:rsid w:val="063F15D1"/>
    <w:rsid w:val="0663284C"/>
    <w:rsid w:val="06770E4D"/>
    <w:rsid w:val="07016BD4"/>
    <w:rsid w:val="07B40FAC"/>
    <w:rsid w:val="07F608F1"/>
    <w:rsid w:val="084367D4"/>
    <w:rsid w:val="08A43261"/>
    <w:rsid w:val="09181A0E"/>
    <w:rsid w:val="09414AC1"/>
    <w:rsid w:val="09682EB8"/>
    <w:rsid w:val="09701596"/>
    <w:rsid w:val="09B01196"/>
    <w:rsid w:val="09EF276F"/>
    <w:rsid w:val="0A1041B5"/>
    <w:rsid w:val="0A155669"/>
    <w:rsid w:val="0A992ACF"/>
    <w:rsid w:val="0AAC082D"/>
    <w:rsid w:val="0ABB16FD"/>
    <w:rsid w:val="0B280B93"/>
    <w:rsid w:val="0B9E1294"/>
    <w:rsid w:val="0C0F6D61"/>
    <w:rsid w:val="0C1C35C4"/>
    <w:rsid w:val="0C3E373D"/>
    <w:rsid w:val="0C48260B"/>
    <w:rsid w:val="0C811679"/>
    <w:rsid w:val="0C88659A"/>
    <w:rsid w:val="0C9814B5"/>
    <w:rsid w:val="0C992E66"/>
    <w:rsid w:val="0CB67574"/>
    <w:rsid w:val="0CD74F4E"/>
    <w:rsid w:val="0D625D59"/>
    <w:rsid w:val="0DCF4D92"/>
    <w:rsid w:val="0DD57DA6"/>
    <w:rsid w:val="0E1D50C2"/>
    <w:rsid w:val="0E2B3F92"/>
    <w:rsid w:val="0EB126E9"/>
    <w:rsid w:val="0FC6104D"/>
    <w:rsid w:val="0FD86205"/>
    <w:rsid w:val="0FFD20EE"/>
    <w:rsid w:val="102D3FF1"/>
    <w:rsid w:val="107C5C0E"/>
    <w:rsid w:val="10D95F27"/>
    <w:rsid w:val="10F36FE9"/>
    <w:rsid w:val="110E0BAC"/>
    <w:rsid w:val="114C494B"/>
    <w:rsid w:val="11CB32F9"/>
    <w:rsid w:val="127B54E8"/>
    <w:rsid w:val="12B22195"/>
    <w:rsid w:val="13176A48"/>
    <w:rsid w:val="131E40C5"/>
    <w:rsid w:val="13823917"/>
    <w:rsid w:val="13CA1F19"/>
    <w:rsid w:val="13DD44F2"/>
    <w:rsid w:val="144E2A5F"/>
    <w:rsid w:val="14CA0061"/>
    <w:rsid w:val="14D507B4"/>
    <w:rsid w:val="14E32ED1"/>
    <w:rsid w:val="15E52C78"/>
    <w:rsid w:val="16325C9C"/>
    <w:rsid w:val="166B13D0"/>
    <w:rsid w:val="16B234A2"/>
    <w:rsid w:val="16BF796D"/>
    <w:rsid w:val="16E70179"/>
    <w:rsid w:val="173845ED"/>
    <w:rsid w:val="17856145"/>
    <w:rsid w:val="17FD24FB"/>
    <w:rsid w:val="18185587"/>
    <w:rsid w:val="182201B4"/>
    <w:rsid w:val="184523CE"/>
    <w:rsid w:val="184E706F"/>
    <w:rsid w:val="187B02C7"/>
    <w:rsid w:val="18E17A47"/>
    <w:rsid w:val="18F00A8A"/>
    <w:rsid w:val="19235266"/>
    <w:rsid w:val="196C08F1"/>
    <w:rsid w:val="1A2521DD"/>
    <w:rsid w:val="1A846F04"/>
    <w:rsid w:val="1A935399"/>
    <w:rsid w:val="1AAF0E80"/>
    <w:rsid w:val="1AC51655"/>
    <w:rsid w:val="1ADA6B24"/>
    <w:rsid w:val="1B4D379A"/>
    <w:rsid w:val="1B5C4EFB"/>
    <w:rsid w:val="1B676A58"/>
    <w:rsid w:val="1B6D2EC4"/>
    <w:rsid w:val="1B943177"/>
    <w:rsid w:val="1B9969DF"/>
    <w:rsid w:val="1BCD3B84"/>
    <w:rsid w:val="1BD532AE"/>
    <w:rsid w:val="1C275729"/>
    <w:rsid w:val="1C5D4C5D"/>
    <w:rsid w:val="1C8431EB"/>
    <w:rsid w:val="1CCE26B8"/>
    <w:rsid w:val="1CDE389D"/>
    <w:rsid w:val="1D525097"/>
    <w:rsid w:val="1DDC2BB3"/>
    <w:rsid w:val="1DF63C75"/>
    <w:rsid w:val="1DF655C9"/>
    <w:rsid w:val="1E01086B"/>
    <w:rsid w:val="1E05197A"/>
    <w:rsid w:val="1E6432D4"/>
    <w:rsid w:val="1E82375A"/>
    <w:rsid w:val="1E960FB4"/>
    <w:rsid w:val="1EEA7AC6"/>
    <w:rsid w:val="1F090697"/>
    <w:rsid w:val="1F7B5265"/>
    <w:rsid w:val="1FD92A7D"/>
    <w:rsid w:val="20140D2A"/>
    <w:rsid w:val="203B6D03"/>
    <w:rsid w:val="206A26F8"/>
    <w:rsid w:val="207215AC"/>
    <w:rsid w:val="20825C93"/>
    <w:rsid w:val="20AC4ABE"/>
    <w:rsid w:val="20B300B6"/>
    <w:rsid w:val="20BE4494"/>
    <w:rsid w:val="210B5C89"/>
    <w:rsid w:val="213056EF"/>
    <w:rsid w:val="214B19AF"/>
    <w:rsid w:val="219C2D85"/>
    <w:rsid w:val="21AE1BD8"/>
    <w:rsid w:val="21B53E47"/>
    <w:rsid w:val="21E30D42"/>
    <w:rsid w:val="22201238"/>
    <w:rsid w:val="225E003A"/>
    <w:rsid w:val="22617B2B"/>
    <w:rsid w:val="226A4C31"/>
    <w:rsid w:val="226B2757"/>
    <w:rsid w:val="22B74B50"/>
    <w:rsid w:val="22C500B9"/>
    <w:rsid w:val="22F4274D"/>
    <w:rsid w:val="23086FED"/>
    <w:rsid w:val="23696C97"/>
    <w:rsid w:val="23CB5BA3"/>
    <w:rsid w:val="23DD5975"/>
    <w:rsid w:val="23E822B1"/>
    <w:rsid w:val="23FA2DFB"/>
    <w:rsid w:val="242D0576"/>
    <w:rsid w:val="24BE3012"/>
    <w:rsid w:val="250003E1"/>
    <w:rsid w:val="250032EF"/>
    <w:rsid w:val="25396B3D"/>
    <w:rsid w:val="256F255E"/>
    <w:rsid w:val="2601367E"/>
    <w:rsid w:val="260E1459"/>
    <w:rsid w:val="26647BE9"/>
    <w:rsid w:val="26CB1FFA"/>
    <w:rsid w:val="277327DA"/>
    <w:rsid w:val="278A02F5"/>
    <w:rsid w:val="27AC7A9A"/>
    <w:rsid w:val="27BA6FBE"/>
    <w:rsid w:val="282707F3"/>
    <w:rsid w:val="28AC341B"/>
    <w:rsid w:val="28F33F9C"/>
    <w:rsid w:val="290B7C96"/>
    <w:rsid w:val="299E3412"/>
    <w:rsid w:val="29CC6E69"/>
    <w:rsid w:val="2A24600D"/>
    <w:rsid w:val="2A4B17EC"/>
    <w:rsid w:val="2A5A1159"/>
    <w:rsid w:val="2B0D5F6D"/>
    <w:rsid w:val="2B683928"/>
    <w:rsid w:val="2BDB5E0A"/>
    <w:rsid w:val="2C025EDA"/>
    <w:rsid w:val="2C0E0D23"/>
    <w:rsid w:val="2C273B93"/>
    <w:rsid w:val="2C412EA7"/>
    <w:rsid w:val="2C7F2D90"/>
    <w:rsid w:val="2C8402CC"/>
    <w:rsid w:val="2C8965FC"/>
    <w:rsid w:val="2C9F3729"/>
    <w:rsid w:val="2CD25DAF"/>
    <w:rsid w:val="2D381852"/>
    <w:rsid w:val="2D511CA4"/>
    <w:rsid w:val="2D990AC0"/>
    <w:rsid w:val="2DAF3E40"/>
    <w:rsid w:val="2DDA4C9A"/>
    <w:rsid w:val="2DE55AB4"/>
    <w:rsid w:val="2DFA155F"/>
    <w:rsid w:val="2E0C3A22"/>
    <w:rsid w:val="2E0D1483"/>
    <w:rsid w:val="2E3D7EEF"/>
    <w:rsid w:val="2E761BEF"/>
    <w:rsid w:val="2EBB4BEE"/>
    <w:rsid w:val="2F137233"/>
    <w:rsid w:val="2FDA59F2"/>
    <w:rsid w:val="2FEF49C8"/>
    <w:rsid w:val="30393E95"/>
    <w:rsid w:val="306A77ED"/>
    <w:rsid w:val="309B0E6F"/>
    <w:rsid w:val="30E3452C"/>
    <w:rsid w:val="319C6045"/>
    <w:rsid w:val="31B41C0A"/>
    <w:rsid w:val="31B45EC9"/>
    <w:rsid w:val="31BB0FE7"/>
    <w:rsid w:val="31D54EF7"/>
    <w:rsid w:val="31EB11BF"/>
    <w:rsid w:val="32351D06"/>
    <w:rsid w:val="324B2329"/>
    <w:rsid w:val="326B7C1E"/>
    <w:rsid w:val="32A83B15"/>
    <w:rsid w:val="32AE46C6"/>
    <w:rsid w:val="32E6579B"/>
    <w:rsid w:val="33395E7A"/>
    <w:rsid w:val="33454756"/>
    <w:rsid w:val="3345781A"/>
    <w:rsid w:val="33950813"/>
    <w:rsid w:val="33B91786"/>
    <w:rsid w:val="33D60378"/>
    <w:rsid w:val="33EA7980"/>
    <w:rsid w:val="356419B4"/>
    <w:rsid w:val="35F9034E"/>
    <w:rsid w:val="365A27C8"/>
    <w:rsid w:val="3694744F"/>
    <w:rsid w:val="36B978CE"/>
    <w:rsid w:val="373F4487"/>
    <w:rsid w:val="37894282"/>
    <w:rsid w:val="378C2AA9"/>
    <w:rsid w:val="38341477"/>
    <w:rsid w:val="38A6160E"/>
    <w:rsid w:val="38C34C43"/>
    <w:rsid w:val="38C43CA9"/>
    <w:rsid w:val="39495F88"/>
    <w:rsid w:val="39826B31"/>
    <w:rsid w:val="39A6259B"/>
    <w:rsid w:val="3AB4342E"/>
    <w:rsid w:val="3AD44EE6"/>
    <w:rsid w:val="3B781D15"/>
    <w:rsid w:val="3B9052B1"/>
    <w:rsid w:val="3BE55E13"/>
    <w:rsid w:val="3C2D2B00"/>
    <w:rsid w:val="3C4B3FC2"/>
    <w:rsid w:val="3C990FCB"/>
    <w:rsid w:val="3D7E46A8"/>
    <w:rsid w:val="3DA34099"/>
    <w:rsid w:val="3DF81D2A"/>
    <w:rsid w:val="3DF90A28"/>
    <w:rsid w:val="3E1A70B4"/>
    <w:rsid w:val="3E4A79FC"/>
    <w:rsid w:val="3E5E1BF9"/>
    <w:rsid w:val="3E75078E"/>
    <w:rsid w:val="3EA03A5D"/>
    <w:rsid w:val="3ECF1148"/>
    <w:rsid w:val="3EDC25BB"/>
    <w:rsid w:val="3F1F65DD"/>
    <w:rsid w:val="3FB757CD"/>
    <w:rsid w:val="3FB80293"/>
    <w:rsid w:val="3FBD724F"/>
    <w:rsid w:val="3FEE56D0"/>
    <w:rsid w:val="3FFD4EDF"/>
    <w:rsid w:val="40034CE0"/>
    <w:rsid w:val="4045722C"/>
    <w:rsid w:val="407209E5"/>
    <w:rsid w:val="40D7128C"/>
    <w:rsid w:val="40EB11DB"/>
    <w:rsid w:val="41272213"/>
    <w:rsid w:val="413F4786"/>
    <w:rsid w:val="41DF2AEE"/>
    <w:rsid w:val="42162BD2"/>
    <w:rsid w:val="42186000"/>
    <w:rsid w:val="423A5616"/>
    <w:rsid w:val="426923B8"/>
    <w:rsid w:val="42AD0108"/>
    <w:rsid w:val="42CE4911"/>
    <w:rsid w:val="42E12896"/>
    <w:rsid w:val="42E303BC"/>
    <w:rsid w:val="436B215F"/>
    <w:rsid w:val="43703F00"/>
    <w:rsid w:val="43713C1A"/>
    <w:rsid w:val="43F319C0"/>
    <w:rsid w:val="43F53D29"/>
    <w:rsid w:val="44052F6D"/>
    <w:rsid w:val="4458226F"/>
    <w:rsid w:val="445C54F5"/>
    <w:rsid w:val="44867251"/>
    <w:rsid w:val="449A0F4E"/>
    <w:rsid w:val="44CD4E80"/>
    <w:rsid w:val="44ED72D0"/>
    <w:rsid w:val="458A4B1F"/>
    <w:rsid w:val="45B84D5C"/>
    <w:rsid w:val="461C6516"/>
    <w:rsid w:val="46217054"/>
    <w:rsid w:val="46226C7C"/>
    <w:rsid w:val="46254F1A"/>
    <w:rsid w:val="475A0D14"/>
    <w:rsid w:val="47B02837"/>
    <w:rsid w:val="48485148"/>
    <w:rsid w:val="48861F15"/>
    <w:rsid w:val="48A905A4"/>
    <w:rsid w:val="48BB1493"/>
    <w:rsid w:val="49044BE8"/>
    <w:rsid w:val="491D3EFC"/>
    <w:rsid w:val="498D2E30"/>
    <w:rsid w:val="49F45D1E"/>
    <w:rsid w:val="4A154C94"/>
    <w:rsid w:val="4A5C0AFE"/>
    <w:rsid w:val="4A810264"/>
    <w:rsid w:val="4ACB490C"/>
    <w:rsid w:val="4B2D35EC"/>
    <w:rsid w:val="4B3F63AB"/>
    <w:rsid w:val="4B6173B9"/>
    <w:rsid w:val="4BA12BC2"/>
    <w:rsid w:val="4BF1634C"/>
    <w:rsid w:val="4C1A1186"/>
    <w:rsid w:val="4C1E4213"/>
    <w:rsid w:val="4C26121A"/>
    <w:rsid w:val="4C4A468F"/>
    <w:rsid w:val="4C7240D0"/>
    <w:rsid w:val="4C8C2F4B"/>
    <w:rsid w:val="4CA3296A"/>
    <w:rsid w:val="4D4C6D24"/>
    <w:rsid w:val="4D8412CA"/>
    <w:rsid w:val="4DAE072C"/>
    <w:rsid w:val="4DC40B01"/>
    <w:rsid w:val="4DD17574"/>
    <w:rsid w:val="4E3F7EF2"/>
    <w:rsid w:val="4E50411F"/>
    <w:rsid w:val="4E53118F"/>
    <w:rsid w:val="4E535E94"/>
    <w:rsid w:val="4EBC7D13"/>
    <w:rsid w:val="4ED67027"/>
    <w:rsid w:val="4F0F3AB7"/>
    <w:rsid w:val="4F156EDC"/>
    <w:rsid w:val="4F195165"/>
    <w:rsid w:val="4F525FCE"/>
    <w:rsid w:val="4F936CC6"/>
    <w:rsid w:val="4FA17CA6"/>
    <w:rsid w:val="4FE152E0"/>
    <w:rsid w:val="4FEB04D1"/>
    <w:rsid w:val="4FED432F"/>
    <w:rsid w:val="501C315F"/>
    <w:rsid w:val="50760AC1"/>
    <w:rsid w:val="50EC3E2B"/>
    <w:rsid w:val="510032E3"/>
    <w:rsid w:val="511F053B"/>
    <w:rsid w:val="514840EF"/>
    <w:rsid w:val="51B21297"/>
    <w:rsid w:val="51E97071"/>
    <w:rsid w:val="523302EC"/>
    <w:rsid w:val="524547A9"/>
    <w:rsid w:val="525613B6"/>
    <w:rsid w:val="52675B8D"/>
    <w:rsid w:val="52741FD4"/>
    <w:rsid w:val="52B43B6C"/>
    <w:rsid w:val="52C665FD"/>
    <w:rsid w:val="537E1A3B"/>
    <w:rsid w:val="538B5E28"/>
    <w:rsid w:val="54B55B30"/>
    <w:rsid w:val="54D73EC6"/>
    <w:rsid w:val="54ED444E"/>
    <w:rsid w:val="552D3719"/>
    <w:rsid w:val="55961CE5"/>
    <w:rsid w:val="55E55977"/>
    <w:rsid w:val="56B72E79"/>
    <w:rsid w:val="5730129E"/>
    <w:rsid w:val="57DF67F9"/>
    <w:rsid w:val="57F56770"/>
    <w:rsid w:val="582C415B"/>
    <w:rsid w:val="585039A6"/>
    <w:rsid w:val="589B5CAA"/>
    <w:rsid w:val="58F702C5"/>
    <w:rsid w:val="58FD5F53"/>
    <w:rsid w:val="59883613"/>
    <w:rsid w:val="59D74F82"/>
    <w:rsid w:val="5A355549"/>
    <w:rsid w:val="5A807902"/>
    <w:rsid w:val="5AA970C6"/>
    <w:rsid w:val="5AB04BD0"/>
    <w:rsid w:val="5AFA5E4B"/>
    <w:rsid w:val="5B044F1C"/>
    <w:rsid w:val="5B235531"/>
    <w:rsid w:val="5B5F03A4"/>
    <w:rsid w:val="5BB300C0"/>
    <w:rsid w:val="5BC43B2B"/>
    <w:rsid w:val="5C1E200D"/>
    <w:rsid w:val="5C3F2F33"/>
    <w:rsid w:val="5C7E30BB"/>
    <w:rsid w:val="5C7E5810"/>
    <w:rsid w:val="5CA54D24"/>
    <w:rsid w:val="5CD87317"/>
    <w:rsid w:val="5CE70651"/>
    <w:rsid w:val="5D5B41FF"/>
    <w:rsid w:val="5D7F0889"/>
    <w:rsid w:val="5D944335"/>
    <w:rsid w:val="5DBF01BE"/>
    <w:rsid w:val="5DEE5043"/>
    <w:rsid w:val="5DFF2431"/>
    <w:rsid w:val="5E117222"/>
    <w:rsid w:val="5E4775F9"/>
    <w:rsid w:val="5E5674C7"/>
    <w:rsid w:val="5E67480F"/>
    <w:rsid w:val="5EA17159"/>
    <w:rsid w:val="5EC64026"/>
    <w:rsid w:val="5EEB267A"/>
    <w:rsid w:val="5F8748DA"/>
    <w:rsid w:val="5FBE7D8F"/>
    <w:rsid w:val="5FDE1234"/>
    <w:rsid w:val="60086116"/>
    <w:rsid w:val="60566219"/>
    <w:rsid w:val="607E12CC"/>
    <w:rsid w:val="60C21E5F"/>
    <w:rsid w:val="60E00BE1"/>
    <w:rsid w:val="6171498D"/>
    <w:rsid w:val="61E6537B"/>
    <w:rsid w:val="62001A0A"/>
    <w:rsid w:val="621E2D67"/>
    <w:rsid w:val="628030DA"/>
    <w:rsid w:val="62AA45FB"/>
    <w:rsid w:val="62D33A10"/>
    <w:rsid w:val="62E775FD"/>
    <w:rsid w:val="63604C33"/>
    <w:rsid w:val="63653CAD"/>
    <w:rsid w:val="63B429E0"/>
    <w:rsid w:val="63F7532D"/>
    <w:rsid w:val="643407A7"/>
    <w:rsid w:val="64656A2B"/>
    <w:rsid w:val="647B1A55"/>
    <w:rsid w:val="64DB0A9B"/>
    <w:rsid w:val="65561E5B"/>
    <w:rsid w:val="6573295C"/>
    <w:rsid w:val="6582360D"/>
    <w:rsid w:val="65931DA1"/>
    <w:rsid w:val="65B5026D"/>
    <w:rsid w:val="65B50990"/>
    <w:rsid w:val="65C14135"/>
    <w:rsid w:val="65C23A09"/>
    <w:rsid w:val="65D17642"/>
    <w:rsid w:val="660404C6"/>
    <w:rsid w:val="661701F9"/>
    <w:rsid w:val="66292968"/>
    <w:rsid w:val="667761EE"/>
    <w:rsid w:val="6681309D"/>
    <w:rsid w:val="669D6869"/>
    <w:rsid w:val="66EB7B2A"/>
    <w:rsid w:val="67201A8D"/>
    <w:rsid w:val="673E0C66"/>
    <w:rsid w:val="675170DC"/>
    <w:rsid w:val="675F33B7"/>
    <w:rsid w:val="67F91775"/>
    <w:rsid w:val="68103152"/>
    <w:rsid w:val="68A13DAA"/>
    <w:rsid w:val="68A25790"/>
    <w:rsid w:val="68CC52CB"/>
    <w:rsid w:val="69643755"/>
    <w:rsid w:val="69DC26B1"/>
    <w:rsid w:val="6A184540"/>
    <w:rsid w:val="6A2151A2"/>
    <w:rsid w:val="6A373075"/>
    <w:rsid w:val="6A5C61DA"/>
    <w:rsid w:val="6A665113"/>
    <w:rsid w:val="6AF74490"/>
    <w:rsid w:val="6B144E28"/>
    <w:rsid w:val="6BFF59B7"/>
    <w:rsid w:val="6C177B6C"/>
    <w:rsid w:val="6C403671"/>
    <w:rsid w:val="6C6B4DFB"/>
    <w:rsid w:val="6C6D4A58"/>
    <w:rsid w:val="6CB00AF9"/>
    <w:rsid w:val="6CCD33BF"/>
    <w:rsid w:val="6D154D66"/>
    <w:rsid w:val="6D1E49F0"/>
    <w:rsid w:val="6D905053"/>
    <w:rsid w:val="6DD469CF"/>
    <w:rsid w:val="6E542593"/>
    <w:rsid w:val="6E573888"/>
    <w:rsid w:val="6ECD3B4B"/>
    <w:rsid w:val="6ED8429D"/>
    <w:rsid w:val="6F556684"/>
    <w:rsid w:val="6F870EF5"/>
    <w:rsid w:val="6F9E54E7"/>
    <w:rsid w:val="6FDC1B6B"/>
    <w:rsid w:val="6FE3114C"/>
    <w:rsid w:val="70134ABB"/>
    <w:rsid w:val="70377E36"/>
    <w:rsid w:val="70A703CB"/>
    <w:rsid w:val="70B3479D"/>
    <w:rsid w:val="70F75741"/>
    <w:rsid w:val="712029B9"/>
    <w:rsid w:val="7174432C"/>
    <w:rsid w:val="728C5ACB"/>
    <w:rsid w:val="7298621E"/>
    <w:rsid w:val="72B76A57"/>
    <w:rsid w:val="73565C82"/>
    <w:rsid w:val="73D9089C"/>
    <w:rsid w:val="73D94D40"/>
    <w:rsid w:val="745B5217"/>
    <w:rsid w:val="747B2D8F"/>
    <w:rsid w:val="74C01E69"/>
    <w:rsid w:val="74D067FF"/>
    <w:rsid w:val="74D64461"/>
    <w:rsid w:val="74E9556B"/>
    <w:rsid w:val="755C628B"/>
    <w:rsid w:val="755E58D5"/>
    <w:rsid w:val="755F74C6"/>
    <w:rsid w:val="75995B4F"/>
    <w:rsid w:val="76036494"/>
    <w:rsid w:val="761360D7"/>
    <w:rsid w:val="762439FD"/>
    <w:rsid w:val="76277FE4"/>
    <w:rsid w:val="76312C11"/>
    <w:rsid w:val="76375D4D"/>
    <w:rsid w:val="76992E80"/>
    <w:rsid w:val="769E7490"/>
    <w:rsid w:val="76C3048F"/>
    <w:rsid w:val="76DB4984"/>
    <w:rsid w:val="76DE455C"/>
    <w:rsid w:val="77B94CEC"/>
    <w:rsid w:val="77D00208"/>
    <w:rsid w:val="77D5581E"/>
    <w:rsid w:val="77D9530E"/>
    <w:rsid w:val="77F03ED5"/>
    <w:rsid w:val="77FC0FFD"/>
    <w:rsid w:val="78630157"/>
    <w:rsid w:val="78A44248"/>
    <w:rsid w:val="78BF7473"/>
    <w:rsid w:val="78C935D5"/>
    <w:rsid w:val="78C95383"/>
    <w:rsid w:val="794E57F6"/>
    <w:rsid w:val="79972073"/>
    <w:rsid w:val="79BF70EF"/>
    <w:rsid w:val="7A195E96"/>
    <w:rsid w:val="7A3E58FC"/>
    <w:rsid w:val="7A434CC1"/>
    <w:rsid w:val="7A9A058E"/>
    <w:rsid w:val="7AB6266E"/>
    <w:rsid w:val="7ADB139D"/>
    <w:rsid w:val="7B68601A"/>
    <w:rsid w:val="7B713AB0"/>
    <w:rsid w:val="7BAB3527"/>
    <w:rsid w:val="7BC13CD3"/>
    <w:rsid w:val="7BE349AD"/>
    <w:rsid w:val="7C38637B"/>
    <w:rsid w:val="7C4C159F"/>
    <w:rsid w:val="7C857813"/>
    <w:rsid w:val="7CC935D6"/>
    <w:rsid w:val="7DE25B31"/>
    <w:rsid w:val="7E1F77F3"/>
    <w:rsid w:val="7E920A44"/>
    <w:rsid w:val="7E9D2BEE"/>
    <w:rsid w:val="7F344983"/>
    <w:rsid w:val="7F361298"/>
    <w:rsid w:val="7F4E65E2"/>
    <w:rsid w:val="7FA513FD"/>
    <w:rsid w:val="7FA77AA0"/>
    <w:rsid w:val="7FAC4A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9"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9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3"/>
    <w:qFormat/>
    <w:uiPriority w:val="0"/>
    <w:pPr>
      <w:keepNext/>
      <w:numPr>
        <w:ilvl w:val="0"/>
        <w:numId w:val="1"/>
      </w:numPr>
      <w:jc w:val="center"/>
      <w:outlineLvl w:val="0"/>
    </w:pPr>
    <w:rPr>
      <w:rFonts w:eastAsia="黑体"/>
      <w:b/>
      <w:sz w:val="32"/>
      <w:szCs w:val="20"/>
    </w:rPr>
  </w:style>
  <w:style w:type="paragraph" w:styleId="3">
    <w:name w:val="heading 2"/>
    <w:basedOn w:val="1"/>
    <w:next w:val="1"/>
    <w:qFormat/>
    <w:uiPriority w:val="0"/>
    <w:pPr>
      <w:keepNext/>
      <w:keepLines/>
      <w:spacing w:line="360" w:lineRule="auto"/>
      <w:outlineLvl w:val="1"/>
    </w:pPr>
    <w:rPr>
      <w:rFonts w:ascii="Arial" w:hAnsi="Arial"/>
      <w:b/>
      <w:bCs/>
      <w:sz w:val="24"/>
      <w:szCs w:val="32"/>
    </w:rPr>
  </w:style>
  <w:style w:type="paragraph" w:styleId="4">
    <w:name w:val="heading 4"/>
    <w:basedOn w:val="1"/>
    <w:next w:val="1"/>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5">
    <w:name w:val="Normal Indent"/>
    <w:basedOn w:val="1"/>
    <w:next w:val="1"/>
    <w:qFormat/>
    <w:uiPriority w:val="0"/>
    <w:pPr>
      <w:adjustRightInd w:val="0"/>
      <w:spacing w:line="312" w:lineRule="atLeast"/>
      <w:ind w:firstLine="420"/>
      <w:textAlignment w:val="baseline"/>
    </w:pPr>
    <w:rPr>
      <w:rFonts w:ascii="仿宋_GB2312"/>
      <w:b/>
      <w:kern w:val="0"/>
      <w:szCs w:val="32"/>
    </w:rPr>
  </w:style>
  <w:style w:type="paragraph" w:styleId="6">
    <w:name w:val="Body Text"/>
    <w:basedOn w:val="1"/>
    <w:next w:val="1"/>
    <w:qFormat/>
    <w:uiPriority w:val="0"/>
    <w:pPr>
      <w:spacing w:after="120"/>
    </w:pPr>
  </w:style>
  <w:style w:type="paragraph" w:styleId="7">
    <w:name w:val="Body Text Indent"/>
    <w:basedOn w:val="1"/>
    <w:next w:val="1"/>
    <w:qFormat/>
    <w:uiPriority w:val="0"/>
    <w:pPr>
      <w:ind w:left="480" w:hanging="480" w:hangingChars="200"/>
    </w:pPr>
    <w:rPr>
      <w:sz w:val="24"/>
    </w:rPr>
  </w:style>
  <w:style w:type="paragraph" w:styleId="8">
    <w:name w:val="Block Text"/>
    <w:basedOn w:val="1"/>
    <w:qFormat/>
    <w:uiPriority w:val="0"/>
    <w:pPr>
      <w:spacing w:line="520" w:lineRule="exact"/>
      <w:ind w:left="540" w:leftChars="257" w:right="-514"/>
    </w:pPr>
    <w:rPr>
      <w:rFonts w:ascii="宋体" w:hAnsi="宋体"/>
      <w:sz w:val="24"/>
    </w:rPr>
  </w:style>
  <w:style w:type="paragraph" w:styleId="9">
    <w:name w:val="Plain Text"/>
    <w:basedOn w:val="1"/>
    <w:qFormat/>
    <w:uiPriority w:val="0"/>
    <w:pPr>
      <w:widowControl/>
      <w:overflowPunct w:val="0"/>
      <w:autoSpaceDE w:val="0"/>
      <w:autoSpaceDN w:val="0"/>
      <w:adjustRightInd w:val="0"/>
      <w:jc w:val="left"/>
      <w:textAlignment w:val="baseline"/>
    </w:pPr>
    <w:rPr>
      <w:rFonts w:ascii="宋体" w:hAnsi="Courier New"/>
      <w:kern w:val="0"/>
      <w:szCs w:val="21"/>
    </w:rPr>
  </w:style>
  <w:style w:type="paragraph" w:styleId="10">
    <w:name w:val="Date"/>
    <w:basedOn w:val="1"/>
    <w:next w:val="1"/>
    <w:qFormat/>
    <w:uiPriority w:val="0"/>
    <w:pPr>
      <w:ind w:left="100" w:leftChars="2500"/>
    </w:pPr>
  </w:style>
  <w:style w:type="paragraph" w:styleId="11">
    <w:name w:val="footer"/>
    <w:basedOn w:val="1"/>
    <w:qFormat/>
    <w:uiPriority w:val="99"/>
    <w:pPr>
      <w:tabs>
        <w:tab w:val="center" w:pos="4153"/>
        <w:tab w:val="right" w:pos="8306"/>
      </w:tabs>
      <w:snapToGrid w:val="0"/>
      <w:jc w:val="left"/>
    </w:pPr>
    <w:rPr>
      <w:sz w:val="18"/>
      <w:szCs w:val="18"/>
    </w:rPr>
  </w:style>
  <w:style w:type="paragraph" w:styleId="12">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13">
    <w:name w:val="toc 1"/>
    <w:basedOn w:val="1"/>
    <w:next w:val="1"/>
    <w:unhideWhenUsed/>
    <w:qFormat/>
    <w:uiPriority w:val="39"/>
  </w:style>
  <w:style w:type="paragraph" w:styleId="14">
    <w:name w:val="toc 2"/>
    <w:basedOn w:val="1"/>
    <w:next w:val="1"/>
    <w:qFormat/>
    <w:uiPriority w:val="0"/>
    <w:pPr>
      <w:ind w:left="200" w:leftChars="200"/>
    </w:pPr>
  </w:style>
  <w:style w:type="paragraph" w:styleId="15">
    <w:name w:val="Normal (Web)"/>
    <w:basedOn w:val="1"/>
    <w:qFormat/>
    <w:uiPriority w:val="99"/>
    <w:pPr>
      <w:widowControl/>
      <w:spacing w:before="100" w:beforeAutospacing="1" w:after="100" w:afterAutospacing="1"/>
      <w:jc w:val="left"/>
    </w:pPr>
    <w:rPr>
      <w:rFonts w:ascii="宋体" w:hAnsi="宋体" w:cs="宋体"/>
      <w:kern w:val="0"/>
      <w:sz w:val="24"/>
    </w:rPr>
  </w:style>
  <w:style w:type="paragraph" w:styleId="16">
    <w:name w:val="Body Text First Indent"/>
    <w:basedOn w:val="6"/>
    <w:next w:val="1"/>
    <w:qFormat/>
    <w:uiPriority w:val="0"/>
    <w:pPr>
      <w:ind w:firstLine="420" w:firstLineChars="100"/>
    </w:pPr>
    <w:rPr>
      <w:b/>
      <w:bCs/>
    </w:rPr>
  </w:style>
  <w:style w:type="paragraph" w:styleId="17">
    <w:name w:val="Body Text First Indent 2"/>
    <w:basedOn w:val="7"/>
    <w:next w:val="1"/>
    <w:qFormat/>
    <w:uiPriority w:val="0"/>
    <w:pPr>
      <w:spacing w:after="120"/>
      <w:ind w:left="420" w:leftChars="200" w:firstLine="420"/>
    </w:pPr>
    <w:rPr>
      <w:rFonts w:cs="宋体"/>
      <w:sz w:val="21"/>
      <w:szCs w:val="21"/>
    </w:rPr>
  </w:style>
  <w:style w:type="table" w:styleId="19">
    <w:name w:val="Table Grid"/>
    <w:basedOn w:val="18"/>
    <w:qFormat/>
    <w:uiPriority w:val="99"/>
    <w:rPr>
      <w:rFonts w:eastAsia="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Strong"/>
    <w:basedOn w:val="20"/>
    <w:qFormat/>
    <w:uiPriority w:val="22"/>
    <w:rPr>
      <w:b/>
      <w:bCs/>
    </w:rPr>
  </w:style>
  <w:style w:type="paragraph" w:customStyle="1" w:styleId="22">
    <w:name w:val="AONormal"/>
    <w:qFormat/>
    <w:uiPriority w:val="0"/>
    <w:pPr>
      <w:autoSpaceDE w:val="0"/>
      <w:autoSpaceDN w:val="0"/>
      <w:adjustRightInd w:val="0"/>
      <w:spacing w:line="400" w:lineRule="exact"/>
      <w:ind w:firstLine="440" w:firstLineChars="200"/>
    </w:pPr>
    <w:rPr>
      <w:rFonts w:ascii="华文楷体" w:hAnsi="华文楷体" w:eastAsia="华文楷体" w:cs="华文楷体"/>
      <w:sz w:val="22"/>
      <w:szCs w:val="21"/>
      <w:lang w:val="en-US" w:eastAsia="zh-CN" w:bidi="ar-SA"/>
    </w:rPr>
  </w:style>
  <w:style w:type="character" w:customStyle="1" w:styleId="23">
    <w:name w:val="标题 1 字符"/>
    <w:link w:val="2"/>
    <w:qFormat/>
    <w:uiPriority w:val="0"/>
    <w:rPr>
      <w:rFonts w:eastAsia="黑体"/>
      <w:b/>
      <w:sz w:val="32"/>
      <w:szCs w:val="20"/>
    </w:rPr>
  </w:style>
  <w:style w:type="paragraph" w:styleId="24">
    <w:name w:val="List Paragraph"/>
    <w:basedOn w:val="1"/>
    <w:qFormat/>
    <w:uiPriority w:val="0"/>
    <w:pPr>
      <w:ind w:firstLine="420" w:firstLineChars="200"/>
    </w:pPr>
    <w:rPr>
      <w:rFonts w:ascii="Calibri" w:hAnsi="Calibri"/>
      <w:szCs w:val="22"/>
    </w:rPr>
  </w:style>
  <w:style w:type="paragraph" w:customStyle="1" w:styleId="25">
    <w:name w:val="保留正文"/>
    <w:basedOn w:val="6"/>
    <w:qFormat/>
    <w:uiPriority w:val="0"/>
  </w:style>
  <w:style w:type="table" w:customStyle="1" w:styleId="26">
    <w:name w:val="Table Normal"/>
    <w:unhideWhenUsed/>
    <w:qFormat/>
    <w:uiPriority w:val="0"/>
    <w:tblPr>
      <w:tblCellMar>
        <w:top w:w="0" w:type="dxa"/>
        <w:left w:w="0" w:type="dxa"/>
        <w:bottom w:w="0" w:type="dxa"/>
        <w:right w:w="0" w:type="dxa"/>
      </w:tblCellMar>
    </w:tblPr>
  </w:style>
  <w:style w:type="paragraph" w:customStyle="1" w:styleId="27">
    <w:name w:val="Table Text"/>
    <w:basedOn w:val="1"/>
    <w:semiHidden/>
    <w:qFormat/>
    <w:uiPriority w:val="0"/>
    <w:rPr>
      <w:rFonts w:ascii="宋体" w:hAnsi="宋体" w:cs="宋体"/>
      <w:szCs w:val="21"/>
      <w:lang w:eastAsia="en-US"/>
    </w:rPr>
  </w:style>
  <w:style w:type="paragraph" w:customStyle="1" w:styleId="28">
    <w:name w:val="__正文"/>
    <w:autoRedefine/>
    <w:qFormat/>
    <w:uiPriority w:val="0"/>
    <w:pPr>
      <w:spacing w:line="360" w:lineRule="auto"/>
      <w:ind w:firstLine="200" w:firstLineChars="200"/>
    </w:pPr>
    <w:rPr>
      <w:rFonts w:eastAsia="微软雅黑" w:asciiTheme="minorHAnsi" w:hAnsiTheme="minorHAnsi" w:cstheme="minorBidi"/>
      <w:kern w:val="2"/>
      <w:sz w:val="21"/>
      <w:szCs w:val="21"/>
      <w:lang w:val="en-US" w:eastAsia="zh-CN" w:bidi="ar-SA"/>
    </w:rPr>
  </w:style>
  <w:style w:type="paragraph" w:customStyle="1" w:styleId="29">
    <w:name w:val="列出段落1"/>
    <w:basedOn w:val="1"/>
    <w:qFormat/>
    <w:uiPriority w:val="0"/>
    <w:pPr>
      <w:ind w:firstLine="420" w:firstLineChars="200"/>
    </w:pPr>
    <w:rPr>
      <w:szCs w:val="21"/>
    </w:rPr>
  </w:style>
  <w:style w:type="paragraph" w:customStyle="1" w:styleId="30">
    <w:name w:val="_Style 101"/>
    <w:basedOn w:val="7"/>
    <w:next w:val="17"/>
    <w:autoRedefine/>
    <w:qFormat/>
    <w:uiPriority w:val="0"/>
    <w:pPr>
      <w:ind w:firstLine="420" w:firstLineChars="200"/>
    </w:pPr>
  </w:style>
  <w:style w:type="character" w:customStyle="1" w:styleId="31">
    <w:name w:val="font01"/>
    <w:basedOn w:val="20"/>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15</Pages>
  <Words>3038</Words>
  <Characters>3323</Characters>
  <Lines>50</Lines>
  <Paragraphs>14</Paragraphs>
  <TotalTime>0</TotalTime>
  <ScaleCrop>false</ScaleCrop>
  <LinksUpToDate>false</LinksUpToDate>
  <CharactersWithSpaces>3458</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2025-08-15T06:04:00Z</dcterms:created>
  <dc:creator>丶梦里寻她千百度ミ</dc:creator>
  <cp:lastModifiedBy>朱冯</cp:lastModifiedBy>
  <dcterms:modified xsi:type="dcterms:W3CDTF">2025-08-26T01:00:33Z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36FFDA6DB7C24AEB956F672CFE5F7C63_13</vt:lpwstr>
  </property>
  <property fmtid="{D5CDD505-2E9C-101B-9397-08002B2CF9AE}" pid="4" name="commondata">
    <vt:lpwstr>eyJoZGlkIjoiMjdiOGY2Yjk4NjAzM2M5OTU2Y2MxNTk1YmNlMjFjYWQifQ==</vt:lpwstr>
  </property>
  <property fmtid="{D5CDD505-2E9C-101B-9397-08002B2CF9AE}" pid="5" name="KSOTemplateDocerSaveRecord">
    <vt:lpwstr>eyJoZGlkIjoiMzQ1NWE4MzgzMzNiMjhmZmMxMDNlZjM0NGE0Mjk3N2MiLCJ1c2VySWQiOiIxNjI5OTU5MzQxIn0=</vt:lpwstr>
  </property>
</Properties>
</file>